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761725">
      <w:r>
        <w:rPr>
          <w:noProof/>
          <w:lang w:val="en-US"/>
        </w:rPr>
        <w:pict>
          <v:rect id="_x0000_s1107" style="position:absolute;margin-left:-71.55pt;margin-top:-78.25pt;width:148.65pt;height:851.45pt;z-index:251652095" fillcolor="#eeece1 [3214]">
            <v:fill color2="#fcfcf9"/>
          </v:rect>
        </w:pict>
      </w:r>
      <w:r>
        <w:rPr>
          <w:noProof/>
          <w:lang w:val="en-US"/>
        </w:rPr>
        <w:pict>
          <v:rect id="_x0000_s1089" style="position:absolute;margin-left:40.4pt;margin-top:-56.8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852B64">
                  <w:pPr>
                    <w:jc w:val="center"/>
                    <w:rPr>
                      <w:color w:val="FFFFFF"/>
                      <w:sz w:val="48"/>
                      <w:szCs w:val="52"/>
                    </w:rPr>
                  </w:pPr>
                  <w:r>
                    <w:rPr>
                      <w:sz w:val="52"/>
                      <w:szCs w:val="52"/>
                      <w:lang w:val="en-US"/>
                    </w:rPr>
                    <w:t>2016</w:t>
                  </w:r>
                </w:p>
              </w:txbxContent>
            </v:textbox>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D23F0F" w:rsidRDefault="002C28AF">
                  <w:pPr>
                    <w:pStyle w:val="NoSpacing"/>
                    <w:rPr>
                      <w:sz w:val="64"/>
                      <w:szCs w:val="64"/>
                    </w:rPr>
                  </w:pPr>
                  <w:r>
                    <w:rPr>
                      <w:sz w:val="64"/>
                      <w:szCs w:val="64"/>
                    </w:rPr>
                    <w:t>Financial Communications and Effective Media Management</w:t>
                  </w:r>
                </w:p>
                <w:p w:rsidR="00696AB3" w:rsidRPr="00D23F0F" w:rsidRDefault="00246303">
                  <w:pPr>
                    <w:pStyle w:val="NoSpacing"/>
                    <w:rPr>
                      <w:sz w:val="40"/>
                      <w:szCs w:val="40"/>
                    </w:rPr>
                  </w:pPr>
                  <w:r>
                    <w:rPr>
                      <w:sz w:val="40"/>
                      <w:szCs w:val="40"/>
                    </w:rPr>
                    <w:t>10</w:t>
                  </w:r>
                  <w:r w:rsidRPr="00246303">
                    <w:rPr>
                      <w:sz w:val="40"/>
                      <w:szCs w:val="40"/>
                      <w:vertAlign w:val="superscript"/>
                    </w:rPr>
                    <w:t>th</w:t>
                  </w:r>
                  <w:r>
                    <w:rPr>
                      <w:sz w:val="40"/>
                      <w:szCs w:val="40"/>
                    </w:rPr>
                    <w:t xml:space="preserve"> August/13</w:t>
                  </w:r>
                  <w:r w:rsidRPr="00246303">
                    <w:rPr>
                      <w:sz w:val="40"/>
                      <w:szCs w:val="40"/>
                      <w:vertAlign w:val="superscript"/>
                    </w:rPr>
                    <w:t>th</w:t>
                  </w:r>
                  <w:r>
                    <w:rPr>
                      <w:sz w:val="40"/>
                      <w:szCs w:val="40"/>
                    </w:rPr>
                    <w:t xml:space="preserve"> October/01</w:t>
                  </w:r>
                  <w:r w:rsidRPr="00246303">
                    <w:rPr>
                      <w:sz w:val="40"/>
                      <w:szCs w:val="40"/>
                      <w:vertAlign w:val="superscript"/>
                    </w:rPr>
                    <w:t>st</w:t>
                  </w:r>
                  <w:r>
                    <w:rPr>
                      <w:sz w:val="40"/>
                      <w:szCs w:val="40"/>
                    </w:rPr>
                    <w:t xml:space="preserve"> December</w:t>
                  </w:r>
                </w:p>
                <w:p w:rsidR="00696AB3" w:rsidRPr="00696AB3" w:rsidRDefault="00696AB3">
                  <w:pPr>
                    <w:pStyle w:val="NoSpacing"/>
                    <w:rPr>
                      <w:color w:val="FFFFFF"/>
                    </w:rPr>
                  </w:pPr>
                </w:p>
                <w:p w:rsidR="00696AB3" w:rsidRPr="00696AB3" w:rsidRDefault="002C28AF" w:rsidP="002C28AF">
                  <w:pPr>
                    <w:pStyle w:val="NoSpacing"/>
                    <w:rPr>
                      <w:color w:val="FFFFFF"/>
                    </w:rPr>
                  </w:pPr>
                  <w:r>
                    <w:t>The role of financial communications in public listed companies (PLCs) is becoming increasingly more important these days. In the light of the current market conditions, PLCs need to deal more effectively with their shareholders and stakeholders, both existing and potential. Financial communications encompasses not just communicating with the investment community but also, to a large extent, dealing with the financial media.</w:t>
                  </w:r>
                </w:p>
              </w:txbxContent>
            </v:textbox>
          </v:rect>
        </w:pict>
      </w:r>
    </w:p>
    <w:p w:rsidR="00696AB3" w:rsidRDefault="00696AB3"/>
    <w:p w:rsidR="00D35263" w:rsidRDefault="00761725">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761725">
      <w:r w:rsidRPr="00761725">
        <w:rPr>
          <w:rFonts w:asciiTheme="minorHAnsi" w:hAnsiTheme="minorHAnsi"/>
          <w:noProof/>
          <w:lang w:val="en-US"/>
        </w:rPr>
        <w:lastRenderedPageBreak/>
        <w:pict>
          <v:roundrect id="_x0000_s1130" style="position:absolute;margin-left:251.75pt;margin-top:8.65pt;width:150.55pt;height:23.4pt;z-index:-251575296" arcsize="10923f">
            <v:shadow on="t" offset="3pt" offset2="2pt"/>
            <v:textbox>
              <w:txbxContent>
                <w:p w:rsidR="00D23F0F" w:rsidRPr="00B93281" w:rsidRDefault="00942851" w:rsidP="00D23F0F">
                  <w:pPr>
                    <w:rPr>
                      <w:rFonts w:asciiTheme="minorHAnsi" w:hAnsiTheme="minorHAnsi"/>
                    </w:rPr>
                  </w:pPr>
                  <w:r>
                    <w:rPr>
                      <w:rFonts w:asciiTheme="minorHAnsi" w:hAnsiTheme="minorHAnsi"/>
                    </w:rPr>
                    <w:t>COURSE COVERAGE</w:t>
                  </w:r>
                </w:p>
              </w:txbxContent>
            </v:textbox>
          </v:roundrect>
        </w:pict>
      </w:r>
      <w:r w:rsidRPr="00761725">
        <w:rPr>
          <w:rFonts w:asciiTheme="minorHAnsi" w:hAnsiTheme="minorHAnsi"/>
          <w:noProof/>
          <w:lang w:val="en-US"/>
        </w:rPr>
        <w:pict>
          <v:roundrect id="_x0000_s1046" style="position:absolute;margin-left:-6.8pt;margin-top:8.65pt;width:150.55pt;height:23.4pt;z-index:-251656192" arcsize="10923f">
            <v:shadow on="t" offset="3pt" offset2="2pt"/>
            <v:textbox>
              <w:txbxContent>
                <w:p w:rsidR="00B93281" w:rsidRPr="00B93281" w:rsidRDefault="00B93281">
                  <w:pPr>
                    <w:rPr>
                      <w:rFonts w:asciiTheme="minorHAnsi" w:hAnsiTheme="minorHAnsi"/>
                    </w:rPr>
                  </w:pPr>
                  <w:r>
                    <w:rPr>
                      <w:rFonts w:asciiTheme="minorHAnsi" w:hAnsiTheme="minorHAnsi"/>
                    </w:rPr>
                    <w:t>COURSE INTRODUCTION</w:t>
                  </w:r>
                </w:p>
              </w:txbxContent>
            </v:textbox>
          </v:roundrect>
        </w:pict>
      </w:r>
    </w:p>
    <w:p w:rsidR="00B26841" w:rsidRPr="00B26841" w:rsidRDefault="00B26841" w:rsidP="003F6F40">
      <w:pPr>
        <w:rPr>
          <w:rFonts w:asciiTheme="minorHAnsi" w:hAnsiTheme="minorHAnsi"/>
        </w:rPr>
        <w:sectPr w:rsidR="00B26841" w:rsidRPr="00B26841" w:rsidSect="00800675">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cols w:sep="1" w:space="720"/>
          <w:titlePg/>
          <w:docGrid w:linePitch="299"/>
        </w:sectPr>
      </w:pP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942851" w:rsidRPr="00942851" w:rsidRDefault="00942851" w:rsidP="00942851">
      <w:pPr>
        <w:jc w:val="both"/>
        <w:rPr>
          <w:rFonts w:asciiTheme="minorHAnsi" w:hAnsiTheme="minorHAnsi"/>
          <w:sz w:val="20"/>
        </w:rPr>
      </w:pPr>
      <w:r w:rsidRPr="00942851">
        <w:rPr>
          <w:rFonts w:asciiTheme="minorHAnsi" w:hAnsiTheme="minorHAnsi"/>
          <w:sz w:val="20"/>
        </w:rPr>
        <w:t>The role of financial communications in public listed companies (PLCs) is becoming</w:t>
      </w:r>
      <w:r>
        <w:rPr>
          <w:rFonts w:asciiTheme="minorHAnsi" w:hAnsiTheme="minorHAnsi"/>
          <w:sz w:val="20"/>
        </w:rPr>
        <w:t xml:space="preserve"> </w:t>
      </w:r>
      <w:r w:rsidRPr="00942851">
        <w:rPr>
          <w:rFonts w:asciiTheme="minorHAnsi" w:hAnsiTheme="minorHAnsi"/>
          <w:sz w:val="20"/>
        </w:rPr>
        <w:t>increasingly more important these days. In the light of the current market conditions, PLCs</w:t>
      </w:r>
      <w:r>
        <w:rPr>
          <w:rFonts w:asciiTheme="minorHAnsi" w:hAnsiTheme="minorHAnsi"/>
          <w:sz w:val="20"/>
        </w:rPr>
        <w:t xml:space="preserve"> </w:t>
      </w:r>
      <w:r w:rsidRPr="00942851">
        <w:rPr>
          <w:rFonts w:asciiTheme="minorHAnsi" w:hAnsiTheme="minorHAnsi"/>
          <w:sz w:val="20"/>
        </w:rPr>
        <w:t>need to deal more effectively with their shareholders and stakeholders, both existing and</w:t>
      </w:r>
    </w:p>
    <w:p w:rsidR="00942851" w:rsidRDefault="00942851" w:rsidP="00942851">
      <w:pPr>
        <w:jc w:val="both"/>
        <w:rPr>
          <w:rFonts w:asciiTheme="minorHAnsi" w:hAnsiTheme="minorHAnsi"/>
          <w:sz w:val="20"/>
        </w:rPr>
      </w:pPr>
      <w:r w:rsidRPr="00942851">
        <w:rPr>
          <w:rFonts w:asciiTheme="minorHAnsi" w:hAnsiTheme="minorHAnsi"/>
          <w:sz w:val="20"/>
        </w:rPr>
        <w:t>potential. Financial communications encompasses not just communicating with the investment</w:t>
      </w:r>
      <w:r>
        <w:rPr>
          <w:rFonts w:asciiTheme="minorHAnsi" w:hAnsiTheme="minorHAnsi"/>
          <w:sz w:val="20"/>
        </w:rPr>
        <w:t xml:space="preserve"> </w:t>
      </w:r>
      <w:r w:rsidRPr="00942851">
        <w:rPr>
          <w:rFonts w:asciiTheme="minorHAnsi" w:hAnsiTheme="minorHAnsi"/>
          <w:sz w:val="20"/>
        </w:rPr>
        <w:t>community but also, to a large extent, dealing with the financial media.</w:t>
      </w:r>
    </w:p>
    <w:p w:rsidR="00942851" w:rsidRDefault="00942851" w:rsidP="00942851">
      <w:pPr>
        <w:jc w:val="both"/>
        <w:rPr>
          <w:rFonts w:asciiTheme="minorHAnsi" w:hAnsiTheme="minorHAnsi"/>
          <w:sz w:val="20"/>
        </w:rPr>
      </w:pPr>
    </w:p>
    <w:p w:rsidR="00942851" w:rsidRDefault="00942851" w:rsidP="00942851">
      <w:pPr>
        <w:jc w:val="both"/>
        <w:rPr>
          <w:rFonts w:asciiTheme="minorHAnsi" w:hAnsiTheme="minorHAnsi"/>
          <w:sz w:val="20"/>
        </w:rPr>
      </w:pPr>
      <w:r w:rsidRPr="00942851">
        <w:rPr>
          <w:rFonts w:asciiTheme="minorHAnsi" w:hAnsiTheme="minorHAnsi"/>
          <w:sz w:val="20"/>
        </w:rPr>
        <w:t>A positive and trustworthy relationship between a PLC and the financial media is extremely</w:t>
      </w:r>
      <w:r>
        <w:rPr>
          <w:rFonts w:asciiTheme="minorHAnsi" w:hAnsiTheme="minorHAnsi"/>
          <w:sz w:val="20"/>
        </w:rPr>
        <w:t xml:space="preserve"> </w:t>
      </w:r>
      <w:r w:rsidRPr="00942851">
        <w:rPr>
          <w:rFonts w:asciiTheme="minorHAnsi" w:hAnsiTheme="minorHAnsi"/>
          <w:sz w:val="20"/>
        </w:rPr>
        <w:t>important; more so in today’s well informed society. Many, unfortunately, often perceive the</w:t>
      </w:r>
      <w:r>
        <w:rPr>
          <w:rFonts w:asciiTheme="minorHAnsi" w:hAnsiTheme="minorHAnsi"/>
          <w:sz w:val="20"/>
        </w:rPr>
        <w:t xml:space="preserve"> </w:t>
      </w:r>
      <w:r w:rsidRPr="00942851">
        <w:rPr>
          <w:rFonts w:asciiTheme="minorHAnsi" w:hAnsiTheme="minorHAnsi"/>
          <w:sz w:val="20"/>
        </w:rPr>
        <w:t>media as a ‘bad’ thing. But, this should not be the case and the company can indeed benefit in</w:t>
      </w:r>
      <w:r>
        <w:rPr>
          <w:rFonts w:asciiTheme="minorHAnsi" w:hAnsiTheme="minorHAnsi"/>
          <w:sz w:val="20"/>
        </w:rPr>
        <w:t xml:space="preserve"> </w:t>
      </w:r>
      <w:r w:rsidRPr="00942851">
        <w:rPr>
          <w:rFonts w:asciiTheme="minorHAnsi" w:hAnsiTheme="minorHAnsi"/>
          <w:sz w:val="20"/>
        </w:rPr>
        <w:t>many ways by fostering a positive working relationship with the media.</w:t>
      </w:r>
    </w:p>
    <w:p w:rsidR="00942851" w:rsidRDefault="00942851" w:rsidP="00942851">
      <w:pPr>
        <w:jc w:val="both"/>
        <w:rPr>
          <w:rFonts w:asciiTheme="minorHAnsi" w:hAnsiTheme="minorHAnsi"/>
          <w:sz w:val="20"/>
        </w:rPr>
      </w:pPr>
    </w:p>
    <w:p w:rsidR="00942851" w:rsidRPr="00942851" w:rsidRDefault="00942851" w:rsidP="00942851">
      <w:pPr>
        <w:jc w:val="both"/>
        <w:rPr>
          <w:rFonts w:asciiTheme="minorHAnsi" w:hAnsiTheme="minorHAnsi"/>
          <w:sz w:val="20"/>
        </w:rPr>
      </w:pPr>
      <w:r w:rsidRPr="00942851">
        <w:rPr>
          <w:rFonts w:asciiTheme="minorHAnsi" w:hAnsiTheme="minorHAnsi"/>
          <w:sz w:val="20"/>
        </w:rPr>
        <w:t>Thus, there is a need for PLC directors and senior management to have a better understanding</w:t>
      </w:r>
      <w:r>
        <w:rPr>
          <w:rFonts w:asciiTheme="minorHAnsi" w:hAnsiTheme="minorHAnsi"/>
          <w:sz w:val="20"/>
        </w:rPr>
        <w:t xml:space="preserve"> </w:t>
      </w:r>
      <w:r w:rsidRPr="00942851">
        <w:rPr>
          <w:rFonts w:asciiTheme="minorHAnsi" w:hAnsiTheme="minorHAnsi"/>
          <w:sz w:val="20"/>
        </w:rPr>
        <w:t>and appreciation of how to deal effectively with the media as well as have an overview of best</w:t>
      </w:r>
      <w:r>
        <w:rPr>
          <w:rFonts w:asciiTheme="minorHAnsi" w:hAnsiTheme="minorHAnsi"/>
          <w:sz w:val="20"/>
        </w:rPr>
        <w:t xml:space="preserve"> </w:t>
      </w:r>
      <w:r w:rsidRPr="00942851">
        <w:rPr>
          <w:rFonts w:asciiTheme="minorHAnsi" w:hAnsiTheme="minorHAnsi"/>
          <w:sz w:val="20"/>
        </w:rPr>
        <w:t>practices and principles of investor relations towards developing and maintaining an effective</w:t>
      </w:r>
    </w:p>
    <w:p w:rsidR="00B93281" w:rsidRDefault="00761725" w:rsidP="00942851">
      <w:pPr>
        <w:jc w:val="both"/>
        <w:rPr>
          <w:rFonts w:asciiTheme="minorHAnsi" w:hAnsiTheme="minorHAnsi"/>
        </w:rPr>
      </w:pPr>
      <w:r>
        <w:rPr>
          <w:rFonts w:asciiTheme="minorHAnsi" w:hAnsiTheme="minorHAnsi"/>
          <w:noProof/>
          <w:lang w:val="en-US"/>
        </w:rPr>
        <w:pict>
          <v:roundrect id="_x0000_s1049" style="position:absolute;left:0;text-align:left;margin-left:-6.8pt;margin-top:24.7pt;width:150.55pt;height:23.4pt;z-index:-251653120" arcsize="10923f">
            <v:shadow on="t" offset="3pt" offset2="2pt"/>
            <v:textbox>
              <w:txbxContent>
                <w:p w:rsidR="00B93281" w:rsidRPr="00B93281" w:rsidRDefault="00B93281">
                  <w:pPr>
                    <w:rPr>
                      <w:rFonts w:asciiTheme="minorHAnsi" w:hAnsiTheme="minorHAnsi"/>
                    </w:rPr>
                  </w:pPr>
                  <w:r w:rsidRPr="00B93281">
                    <w:rPr>
                      <w:rFonts w:asciiTheme="minorHAnsi" w:hAnsiTheme="minorHAnsi"/>
                    </w:rPr>
                    <w:t>COURSE OBJECTIVES</w:t>
                  </w:r>
                </w:p>
              </w:txbxContent>
            </v:textbox>
          </v:roundrect>
        </w:pict>
      </w:r>
      <w:r w:rsidR="00942851" w:rsidRPr="00942851">
        <w:rPr>
          <w:rFonts w:asciiTheme="minorHAnsi" w:hAnsiTheme="minorHAnsi"/>
          <w:sz w:val="20"/>
        </w:rPr>
        <w:t>financial communications policy.</w:t>
      </w:r>
      <w:r w:rsidR="00942851" w:rsidRPr="00942851">
        <w:rPr>
          <w:rFonts w:asciiTheme="minorHAnsi" w:hAnsiTheme="minorHAnsi"/>
          <w:sz w:val="20"/>
        </w:rPr>
        <w:cr/>
      </w:r>
    </w:p>
    <w:p w:rsidR="001969FF" w:rsidRDefault="001969FF" w:rsidP="003F6F40">
      <w:pPr>
        <w:rPr>
          <w:rFonts w:asciiTheme="minorHAnsi" w:hAnsiTheme="minorHAnsi"/>
        </w:rPr>
      </w:pPr>
    </w:p>
    <w:p w:rsidR="00942851" w:rsidRDefault="00942851" w:rsidP="003F6F40">
      <w:pPr>
        <w:rPr>
          <w:rFonts w:asciiTheme="minorHAnsi" w:hAnsiTheme="minorHAnsi"/>
        </w:rPr>
      </w:pPr>
    </w:p>
    <w:p w:rsidR="00C242B0" w:rsidRDefault="00C242B0" w:rsidP="003F6F40">
      <w:pPr>
        <w:rPr>
          <w:rFonts w:asciiTheme="minorHAnsi" w:hAnsiTheme="minorHAnsi"/>
        </w:rPr>
      </w:pPr>
    </w:p>
    <w:p w:rsidR="00942851" w:rsidRDefault="00942851" w:rsidP="00942851">
      <w:pPr>
        <w:rPr>
          <w:rFonts w:asciiTheme="minorHAnsi" w:hAnsiTheme="minorHAnsi"/>
        </w:rPr>
      </w:pPr>
      <w:r w:rsidRPr="00942851">
        <w:rPr>
          <w:rFonts w:asciiTheme="minorHAnsi" w:hAnsiTheme="minorHAnsi"/>
        </w:rPr>
        <w:t>Upon completion of the course, participants would have gained :-</w:t>
      </w:r>
    </w:p>
    <w:p w:rsidR="00942851" w:rsidRPr="00942851" w:rsidRDefault="00942851" w:rsidP="00942851">
      <w:pPr>
        <w:pStyle w:val="ListParagraph"/>
        <w:numPr>
          <w:ilvl w:val="0"/>
          <w:numId w:val="14"/>
        </w:numPr>
        <w:spacing w:after="0" w:line="240" w:lineRule="auto"/>
        <w:ind w:left="284" w:hanging="284"/>
        <w:rPr>
          <w:rFonts w:asciiTheme="minorHAnsi" w:hAnsiTheme="minorHAnsi"/>
        </w:rPr>
      </w:pPr>
      <w:r w:rsidRPr="00942851">
        <w:rPr>
          <w:rFonts w:asciiTheme="minorHAnsi" w:hAnsiTheme="minorHAnsi"/>
        </w:rPr>
        <w:t>A better understanding and appreciation of the importance of financial communications to PLCs;</w:t>
      </w:r>
    </w:p>
    <w:p w:rsidR="00942851" w:rsidRPr="00942851" w:rsidRDefault="00942851" w:rsidP="00942851">
      <w:pPr>
        <w:pStyle w:val="ListParagraph"/>
        <w:numPr>
          <w:ilvl w:val="0"/>
          <w:numId w:val="14"/>
        </w:numPr>
        <w:spacing w:after="0" w:line="240" w:lineRule="auto"/>
        <w:ind w:left="284" w:hanging="284"/>
        <w:rPr>
          <w:rFonts w:asciiTheme="minorHAnsi" w:hAnsiTheme="minorHAnsi"/>
        </w:rPr>
      </w:pPr>
      <w:r w:rsidRPr="00942851">
        <w:rPr>
          <w:rFonts w:asciiTheme="minorHAnsi" w:hAnsiTheme="minorHAnsi"/>
        </w:rPr>
        <w:t xml:space="preserve"> An overview of best practices and principles of investor relations;</w:t>
      </w:r>
    </w:p>
    <w:p w:rsidR="00942851" w:rsidRPr="00942851" w:rsidRDefault="00942851" w:rsidP="00942851">
      <w:pPr>
        <w:pStyle w:val="ListParagraph"/>
        <w:numPr>
          <w:ilvl w:val="0"/>
          <w:numId w:val="14"/>
        </w:numPr>
        <w:spacing w:after="0" w:line="240" w:lineRule="auto"/>
        <w:ind w:left="284" w:hanging="284"/>
        <w:rPr>
          <w:rFonts w:asciiTheme="minorHAnsi" w:hAnsiTheme="minorHAnsi"/>
        </w:rPr>
      </w:pPr>
      <w:r w:rsidRPr="00942851">
        <w:rPr>
          <w:rFonts w:asciiTheme="minorHAnsi" w:hAnsiTheme="minorHAnsi"/>
        </w:rPr>
        <w:t xml:space="preserve"> A better understanding of the workings of the financial media</w:t>
      </w:r>
    </w:p>
    <w:p w:rsidR="00942851" w:rsidRPr="00095BF6" w:rsidRDefault="00942851" w:rsidP="00D23F0F">
      <w:pPr>
        <w:pStyle w:val="ListParagraph"/>
        <w:numPr>
          <w:ilvl w:val="0"/>
          <w:numId w:val="14"/>
        </w:numPr>
        <w:spacing w:after="0" w:line="240" w:lineRule="auto"/>
        <w:ind w:left="284" w:hanging="284"/>
        <w:rPr>
          <w:rFonts w:asciiTheme="minorHAnsi" w:hAnsiTheme="minorHAnsi"/>
        </w:rPr>
      </w:pPr>
      <w:r w:rsidRPr="00942851">
        <w:rPr>
          <w:rFonts w:asciiTheme="minorHAnsi" w:hAnsiTheme="minorHAnsi"/>
        </w:rPr>
        <w:t xml:space="preserve"> The wisdom of the need to develop a positive rapport with the financial media and how to</w:t>
      </w:r>
      <w:r>
        <w:rPr>
          <w:rFonts w:asciiTheme="minorHAnsi" w:hAnsiTheme="minorHAnsi"/>
        </w:rPr>
        <w:t xml:space="preserve"> </w:t>
      </w:r>
      <w:r w:rsidRPr="00942851">
        <w:rPr>
          <w:rFonts w:asciiTheme="minorHAnsi" w:hAnsiTheme="minorHAnsi"/>
        </w:rPr>
        <w:t>maintain it.</w:t>
      </w:r>
    </w:p>
    <w:p w:rsidR="00095BF6" w:rsidRDefault="00095BF6" w:rsidP="00942851">
      <w:pPr>
        <w:rPr>
          <w:rFonts w:asciiTheme="minorHAnsi" w:hAnsiTheme="minorHAnsi"/>
        </w:rPr>
      </w:pPr>
    </w:p>
    <w:p w:rsidR="00095BF6" w:rsidRDefault="00095BF6" w:rsidP="00942851">
      <w:pPr>
        <w:rPr>
          <w:rFonts w:asciiTheme="minorHAnsi" w:hAnsiTheme="minorHAnsi"/>
        </w:rPr>
      </w:pPr>
    </w:p>
    <w:p w:rsidR="00852B64" w:rsidRDefault="00852B64" w:rsidP="00942851">
      <w:pPr>
        <w:rPr>
          <w:rFonts w:asciiTheme="minorHAnsi" w:hAnsiTheme="minorHAnsi"/>
        </w:rPr>
      </w:pPr>
    </w:p>
    <w:p w:rsidR="00852B64" w:rsidRDefault="00852B64" w:rsidP="00942851">
      <w:pPr>
        <w:rPr>
          <w:rFonts w:asciiTheme="minorHAnsi" w:hAnsiTheme="minorHAnsi"/>
        </w:rPr>
      </w:pPr>
    </w:p>
    <w:p w:rsidR="00852B64" w:rsidRDefault="00852B64" w:rsidP="00942851">
      <w:pPr>
        <w:rPr>
          <w:rFonts w:asciiTheme="minorHAnsi" w:hAnsiTheme="minorHAnsi"/>
        </w:rPr>
      </w:pPr>
    </w:p>
    <w:p w:rsidR="00852B64" w:rsidRDefault="00852B64" w:rsidP="00942851">
      <w:pPr>
        <w:rPr>
          <w:rFonts w:asciiTheme="minorHAnsi" w:hAnsiTheme="minorHAnsi"/>
        </w:rPr>
      </w:pPr>
    </w:p>
    <w:p w:rsidR="00852B64" w:rsidRDefault="00852B64" w:rsidP="00942851">
      <w:pPr>
        <w:rPr>
          <w:rFonts w:asciiTheme="minorHAnsi" w:hAnsiTheme="minorHAnsi"/>
        </w:rPr>
      </w:pPr>
    </w:p>
    <w:p w:rsidR="00852B64" w:rsidRDefault="00852B64" w:rsidP="00942851">
      <w:pPr>
        <w:rPr>
          <w:rFonts w:asciiTheme="minorHAnsi" w:hAnsiTheme="minorHAnsi"/>
        </w:rPr>
      </w:pPr>
    </w:p>
    <w:p w:rsidR="00852B64" w:rsidRDefault="00852B64" w:rsidP="00942851">
      <w:pPr>
        <w:rPr>
          <w:rFonts w:asciiTheme="minorHAnsi" w:hAnsiTheme="minorHAnsi"/>
        </w:rPr>
      </w:pPr>
    </w:p>
    <w:p w:rsidR="00852B64" w:rsidRDefault="00852B64" w:rsidP="00942851">
      <w:pPr>
        <w:rPr>
          <w:rFonts w:asciiTheme="minorHAnsi" w:hAnsiTheme="minorHAnsi"/>
        </w:rPr>
      </w:pPr>
    </w:p>
    <w:p w:rsidR="00942851" w:rsidRDefault="00942851" w:rsidP="00942851">
      <w:pPr>
        <w:rPr>
          <w:rFonts w:asciiTheme="minorHAnsi" w:hAnsiTheme="minorHAnsi"/>
        </w:rPr>
      </w:pPr>
      <w:r w:rsidRPr="00942851">
        <w:rPr>
          <w:rFonts w:asciiTheme="minorHAnsi" w:hAnsiTheme="minorHAnsi"/>
        </w:rPr>
        <w:t>Topics to be covered include:</w:t>
      </w:r>
      <w:r w:rsidRPr="00942851">
        <w:rPr>
          <w:rFonts w:asciiTheme="minorHAnsi" w:hAnsiTheme="minorHAnsi"/>
        </w:rPr>
        <w:cr/>
      </w:r>
    </w:p>
    <w:p w:rsidR="00942851" w:rsidRPr="00942851" w:rsidRDefault="00942851" w:rsidP="00942851">
      <w:pPr>
        <w:pStyle w:val="ListParagraph"/>
        <w:numPr>
          <w:ilvl w:val="0"/>
          <w:numId w:val="16"/>
        </w:numPr>
        <w:spacing w:after="0" w:line="240" w:lineRule="auto"/>
        <w:ind w:left="284" w:hanging="284"/>
        <w:rPr>
          <w:rFonts w:asciiTheme="minorHAnsi" w:hAnsiTheme="minorHAnsi"/>
        </w:rPr>
      </w:pPr>
      <w:r w:rsidRPr="00942851">
        <w:rPr>
          <w:rFonts w:asciiTheme="minorHAnsi" w:hAnsiTheme="minorHAnsi"/>
        </w:rPr>
        <w:t>The importance of Financial Communications</w:t>
      </w:r>
    </w:p>
    <w:p w:rsidR="00942851" w:rsidRPr="00942851" w:rsidRDefault="00942851" w:rsidP="00942851">
      <w:pPr>
        <w:pStyle w:val="ListParagraph"/>
        <w:numPr>
          <w:ilvl w:val="0"/>
          <w:numId w:val="16"/>
        </w:numPr>
        <w:spacing w:after="0" w:line="240" w:lineRule="auto"/>
        <w:ind w:left="284" w:hanging="284"/>
        <w:rPr>
          <w:rFonts w:asciiTheme="minorHAnsi" w:hAnsiTheme="minorHAnsi"/>
        </w:rPr>
      </w:pPr>
      <w:r w:rsidRPr="00942851">
        <w:rPr>
          <w:rFonts w:asciiTheme="minorHAnsi" w:hAnsiTheme="minorHAnsi"/>
        </w:rPr>
        <w:t>Defining target audiences for PLCs</w:t>
      </w:r>
    </w:p>
    <w:p w:rsidR="00942851" w:rsidRPr="00942851" w:rsidRDefault="00942851" w:rsidP="00942851">
      <w:pPr>
        <w:pStyle w:val="ListParagraph"/>
        <w:numPr>
          <w:ilvl w:val="0"/>
          <w:numId w:val="16"/>
        </w:numPr>
        <w:spacing w:after="0" w:line="240" w:lineRule="auto"/>
        <w:ind w:left="284" w:hanging="284"/>
        <w:rPr>
          <w:rFonts w:asciiTheme="minorHAnsi" w:hAnsiTheme="minorHAnsi"/>
        </w:rPr>
      </w:pPr>
      <w:r w:rsidRPr="00942851">
        <w:rPr>
          <w:rFonts w:asciiTheme="minorHAnsi" w:hAnsiTheme="minorHAnsi"/>
        </w:rPr>
        <w:t>Role and importance of investor relations</w:t>
      </w:r>
    </w:p>
    <w:p w:rsidR="00942851" w:rsidRPr="00942851" w:rsidRDefault="00942851" w:rsidP="00942851">
      <w:pPr>
        <w:pStyle w:val="ListParagraph"/>
        <w:numPr>
          <w:ilvl w:val="0"/>
          <w:numId w:val="16"/>
        </w:numPr>
        <w:spacing w:after="0" w:line="240" w:lineRule="auto"/>
        <w:ind w:left="284" w:hanging="284"/>
        <w:rPr>
          <w:rFonts w:asciiTheme="minorHAnsi" w:hAnsiTheme="minorHAnsi"/>
        </w:rPr>
      </w:pPr>
      <w:r w:rsidRPr="00942851">
        <w:rPr>
          <w:rFonts w:asciiTheme="minorHAnsi" w:hAnsiTheme="minorHAnsi"/>
        </w:rPr>
        <w:t>Role and importance of the financial media</w:t>
      </w:r>
    </w:p>
    <w:p w:rsidR="00942851" w:rsidRPr="00942851" w:rsidRDefault="00942851" w:rsidP="00942851">
      <w:pPr>
        <w:pStyle w:val="ListParagraph"/>
        <w:numPr>
          <w:ilvl w:val="0"/>
          <w:numId w:val="16"/>
        </w:numPr>
        <w:spacing w:after="0" w:line="240" w:lineRule="auto"/>
        <w:ind w:left="284" w:hanging="284"/>
        <w:rPr>
          <w:rFonts w:asciiTheme="minorHAnsi" w:hAnsiTheme="minorHAnsi"/>
        </w:rPr>
      </w:pPr>
      <w:r w:rsidRPr="00942851">
        <w:rPr>
          <w:rFonts w:asciiTheme="minorHAnsi" w:hAnsiTheme="minorHAnsi"/>
        </w:rPr>
        <w:t>Understanding the needs of different forms of media (print, broadcast and electronic)</w:t>
      </w:r>
    </w:p>
    <w:p w:rsidR="00942851" w:rsidRPr="00942851" w:rsidRDefault="00942851" w:rsidP="00942851">
      <w:pPr>
        <w:pStyle w:val="ListParagraph"/>
        <w:numPr>
          <w:ilvl w:val="0"/>
          <w:numId w:val="16"/>
        </w:numPr>
        <w:spacing w:after="0" w:line="240" w:lineRule="auto"/>
        <w:ind w:left="284" w:hanging="284"/>
        <w:rPr>
          <w:rFonts w:asciiTheme="minorHAnsi" w:hAnsiTheme="minorHAnsi"/>
        </w:rPr>
      </w:pPr>
      <w:r w:rsidRPr="00942851">
        <w:rPr>
          <w:rFonts w:asciiTheme="minorHAnsi" w:hAnsiTheme="minorHAnsi"/>
        </w:rPr>
        <w:t>Getting to know the mind of the journalist and reading in between the lines</w:t>
      </w:r>
    </w:p>
    <w:p w:rsidR="00942851" w:rsidRDefault="00942851" w:rsidP="00942851">
      <w:pPr>
        <w:pStyle w:val="ListParagraph"/>
        <w:numPr>
          <w:ilvl w:val="0"/>
          <w:numId w:val="16"/>
        </w:numPr>
        <w:spacing w:after="0" w:line="240" w:lineRule="auto"/>
        <w:ind w:left="284" w:hanging="284"/>
        <w:rPr>
          <w:rFonts w:asciiTheme="minorHAnsi" w:hAnsiTheme="minorHAnsi"/>
        </w:rPr>
      </w:pPr>
      <w:r w:rsidRPr="00942851">
        <w:rPr>
          <w:rFonts w:asciiTheme="minorHAnsi" w:hAnsiTheme="minorHAnsi"/>
        </w:rPr>
        <w:t>Knowing and using different media tools – e.g. announcement to Bursa Malaysia, press release, press conference, interview, etc</w:t>
      </w:r>
    </w:p>
    <w:p w:rsidR="00852B64" w:rsidRPr="00852B64" w:rsidRDefault="00852B64" w:rsidP="00852B64">
      <w:pPr>
        <w:rPr>
          <w:rFonts w:asciiTheme="minorHAnsi" w:hAnsiTheme="minorHAnsi"/>
        </w:rPr>
      </w:pPr>
    </w:p>
    <w:p w:rsidR="00942851" w:rsidRDefault="00761725" w:rsidP="00D23F0F">
      <w:pPr>
        <w:rPr>
          <w:rFonts w:asciiTheme="minorHAnsi" w:hAnsiTheme="minorHAnsi"/>
        </w:rPr>
      </w:pPr>
      <w:r>
        <w:rPr>
          <w:rFonts w:asciiTheme="minorHAnsi" w:hAnsiTheme="minorHAnsi"/>
          <w:noProof/>
          <w:lang w:val="en-US"/>
        </w:rPr>
        <w:pict>
          <v:roundrect id="_x0000_s1048" style="position:absolute;margin-left:-4.4pt;margin-top:6.95pt;width:150.55pt;height:23.4pt;z-index:-251654144" arcsize="10923f">
            <v:shadow on="t" offset="3pt" offset2="2pt"/>
            <v:textbox>
              <w:txbxContent>
                <w:p w:rsidR="00B374FE" w:rsidRPr="00B374FE" w:rsidRDefault="00B374FE">
                  <w:pPr>
                    <w:rPr>
                      <w:rFonts w:asciiTheme="minorHAnsi" w:hAnsiTheme="minorHAnsi"/>
                    </w:rPr>
                  </w:pPr>
                  <w:r w:rsidRPr="00B374FE">
                    <w:rPr>
                      <w:rFonts w:asciiTheme="minorHAnsi" w:hAnsiTheme="minorHAnsi"/>
                    </w:rPr>
                    <w:t>WHO SHOULD ATTEND</w:t>
                  </w:r>
                </w:p>
              </w:txbxContent>
            </v:textbox>
          </v:roundrect>
        </w:pict>
      </w:r>
    </w:p>
    <w:p w:rsidR="00942851" w:rsidRDefault="00942851" w:rsidP="00D23F0F">
      <w:pPr>
        <w:rPr>
          <w:rFonts w:asciiTheme="minorHAnsi" w:hAnsiTheme="minorHAnsi"/>
        </w:rPr>
      </w:pPr>
    </w:p>
    <w:p w:rsidR="00942851" w:rsidRDefault="00942851" w:rsidP="00D23F0F">
      <w:pPr>
        <w:rPr>
          <w:rFonts w:asciiTheme="minorHAnsi" w:hAnsiTheme="minorHAnsi"/>
        </w:rPr>
      </w:pPr>
    </w:p>
    <w:p w:rsidR="00B374FE" w:rsidRDefault="00942851" w:rsidP="003F6F40">
      <w:pPr>
        <w:rPr>
          <w:rFonts w:asciiTheme="minorHAnsi" w:hAnsiTheme="minorHAnsi"/>
          <w:sz w:val="20"/>
        </w:rPr>
      </w:pPr>
      <w:r>
        <w:rPr>
          <w:rFonts w:asciiTheme="minorHAnsi" w:hAnsiTheme="minorHAnsi"/>
          <w:sz w:val="20"/>
        </w:rPr>
        <w:t xml:space="preserve">Company DirectorS, </w:t>
      </w:r>
      <w:r w:rsidRPr="00942851">
        <w:rPr>
          <w:rFonts w:asciiTheme="minorHAnsi" w:hAnsiTheme="minorHAnsi"/>
          <w:sz w:val="20"/>
        </w:rPr>
        <w:t>CEOs, MDs, EDs, CFOs, GMs</w:t>
      </w:r>
      <w:r>
        <w:rPr>
          <w:rFonts w:asciiTheme="minorHAnsi" w:hAnsiTheme="minorHAnsi"/>
          <w:sz w:val="20"/>
        </w:rPr>
        <w:t xml:space="preserve">, </w:t>
      </w:r>
      <w:r w:rsidRPr="00942851">
        <w:rPr>
          <w:rFonts w:asciiTheme="minorHAnsi" w:hAnsiTheme="minorHAnsi"/>
          <w:sz w:val="20"/>
        </w:rPr>
        <w:t>Senior management team members</w:t>
      </w:r>
      <w:r>
        <w:rPr>
          <w:rFonts w:asciiTheme="minorHAnsi" w:hAnsiTheme="minorHAnsi"/>
          <w:sz w:val="20"/>
        </w:rPr>
        <w:t xml:space="preserve">, </w:t>
      </w:r>
      <w:r w:rsidRPr="00942851">
        <w:rPr>
          <w:rFonts w:asciiTheme="minorHAnsi" w:hAnsiTheme="minorHAnsi"/>
          <w:sz w:val="20"/>
        </w:rPr>
        <w:t>Investor Relations</w:t>
      </w:r>
      <w:r>
        <w:rPr>
          <w:rFonts w:asciiTheme="minorHAnsi" w:hAnsiTheme="minorHAnsi"/>
          <w:sz w:val="20"/>
        </w:rPr>
        <w:t xml:space="preserve"> </w:t>
      </w:r>
      <w:r w:rsidRPr="00942851">
        <w:rPr>
          <w:rFonts w:asciiTheme="minorHAnsi" w:hAnsiTheme="minorHAnsi"/>
          <w:sz w:val="20"/>
        </w:rPr>
        <w:t>managers</w:t>
      </w:r>
      <w:r>
        <w:rPr>
          <w:rFonts w:asciiTheme="minorHAnsi" w:hAnsiTheme="minorHAnsi"/>
          <w:sz w:val="20"/>
        </w:rPr>
        <w:t xml:space="preserve">, </w:t>
      </w:r>
      <w:r w:rsidRPr="00942851">
        <w:rPr>
          <w:rFonts w:asciiTheme="minorHAnsi" w:hAnsiTheme="minorHAnsi"/>
          <w:sz w:val="20"/>
        </w:rPr>
        <w:t>Corporate Communications and PR</w:t>
      </w:r>
      <w:r>
        <w:rPr>
          <w:rFonts w:asciiTheme="minorHAnsi" w:hAnsiTheme="minorHAnsi"/>
          <w:sz w:val="20"/>
        </w:rPr>
        <w:t xml:space="preserve"> </w:t>
      </w:r>
      <w:r w:rsidRPr="00942851">
        <w:rPr>
          <w:rFonts w:asciiTheme="minorHAnsi" w:hAnsiTheme="minorHAnsi"/>
          <w:sz w:val="20"/>
        </w:rPr>
        <w:t>Managers</w:t>
      </w:r>
      <w:r w:rsidR="00095BF6">
        <w:rPr>
          <w:rFonts w:asciiTheme="minorHAnsi" w:hAnsiTheme="minorHAnsi"/>
          <w:sz w:val="20"/>
        </w:rPr>
        <w:t xml:space="preserve">, </w:t>
      </w:r>
      <w:r w:rsidRPr="00942851">
        <w:rPr>
          <w:rFonts w:asciiTheme="minorHAnsi" w:hAnsiTheme="minorHAnsi"/>
          <w:sz w:val="20"/>
        </w:rPr>
        <w:t>Company Secretaries</w:t>
      </w:r>
      <w:r w:rsidR="00095BF6">
        <w:rPr>
          <w:rFonts w:asciiTheme="minorHAnsi" w:hAnsiTheme="minorHAnsi"/>
          <w:sz w:val="20"/>
        </w:rPr>
        <w:t>.</w:t>
      </w:r>
    </w:p>
    <w:p w:rsidR="00852B64" w:rsidRDefault="00852B64" w:rsidP="003F6F40">
      <w:pPr>
        <w:rPr>
          <w:rFonts w:asciiTheme="minorHAnsi" w:hAnsiTheme="minorHAnsi"/>
        </w:rPr>
      </w:pPr>
    </w:p>
    <w:p w:rsidR="00095BF6" w:rsidRDefault="00761725" w:rsidP="003F6F40">
      <w:pPr>
        <w:rPr>
          <w:rFonts w:asciiTheme="minorHAnsi" w:hAnsiTheme="minorHAnsi"/>
        </w:rPr>
      </w:pPr>
      <w:r>
        <w:rPr>
          <w:rFonts w:asciiTheme="minorHAnsi" w:hAnsiTheme="minorHAnsi"/>
          <w:noProof/>
          <w:lang w:val="en-US"/>
        </w:rPr>
        <w:pict>
          <v:roundrect id="_x0000_s1050" style="position:absolute;margin-left:-4.4pt;margin-top:6.5pt;width:150.55pt;height:23.4pt;z-index:-251652096" arcsize="10923f">
            <v:shadow on="t" offset="3pt" offset2="2pt"/>
            <v:textbox>
              <w:txbxContent>
                <w:p w:rsidR="00B374FE" w:rsidRPr="00B374FE" w:rsidRDefault="00B374FE" w:rsidP="00B374FE">
                  <w:pPr>
                    <w:rPr>
                      <w:rFonts w:asciiTheme="minorHAnsi" w:hAnsiTheme="minorHAnsi"/>
                    </w:rPr>
                  </w:pPr>
                  <w:r w:rsidRPr="00B374FE">
                    <w:rPr>
                      <w:rFonts w:asciiTheme="minorHAnsi" w:hAnsiTheme="minorHAnsi"/>
                    </w:rPr>
                    <w:t>METHODOLOGY OF DELIVERY</w:t>
                  </w:r>
                </w:p>
              </w:txbxContent>
            </v:textbox>
          </v:roundrect>
        </w:pict>
      </w:r>
    </w:p>
    <w:p w:rsidR="00095BF6" w:rsidRDefault="00095BF6" w:rsidP="003F6F40">
      <w:pPr>
        <w:rPr>
          <w:rFonts w:asciiTheme="minorHAnsi" w:hAnsiTheme="minorHAnsi"/>
        </w:rPr>
      </w:pPr>
    </w:p>
    <w:p w:rsidR="00095BF6" w:rsidRDefault="00095BF6">
      <w:pPr>
        <w:rPr>
          <w:rFonts w:asciiTheme="minorHAnsi" w:hAnsiTheme="minorHAnsi"/>
          <w:sz w:val="20"/>
        </w:rPr>
      </w:pPr>
    </w:p>
    <w:p w:rsidR="00942851" w:rsidRDefault="00942851">
      <w:pPr>
        <w:rPr>
          <w:rFonts w:asciiTheme="minorHAnsi" w:hAnsiTheme="minorHAnsi"/>
          <w:sz w:val="20"/>
        </w:rPr>
      </w:pPr>
      <w:r w:rsidRPr="00942851">
        <w:rPr>
          <w:rFonts w:asciiTheme="minorHAnsi" w:hAnsiTheme="minorHAnsi"/>
          <w:sz w:val="20"/>
        </w:rPr>
        <w:t>Lectures facilitated by PowerPoint presentation, case studies discussion and role-playing session.</w:t>
      </w:r>
    </w:p>
    <w:p w:rsidR="00095BF6" w:rsidRDefault="00095BF6">
      <w:pPr>
        <w:rPr>
          <w:rFonts w:asciiTheme="minorHAnsi" w:hAnsiTheme="minorHAnsi"/>
          <w:sz w:val="20"/>
        </w:rPr>
      </w:pPr>
    </w:p>
    <w:p w:rsidR="00B26841" w:rsidRDefault="00761725">
      <w:pPr>
        <w:rPr>
          <w:rFonts w:asciiTheme="minorHAnsi" w:hAnsiTheme="minorHAnsi"/>
        </w:rPr>
      </w:pPr>
      <w:r>
        <w:rPr>
          <w:rFonts w:asciiTheme="minorHAnsi" w:hAnsiTheme="minorHAnsi"/>
          <w:noProof/>
          <w:lang w:val="en-US"/>
        </w:rPr>
        <w:pict>
          <v:roundrect id="_x0000_s1051" style="position:absolute;margin-left:-6.05pt;margin-top:8.7pt;width:150.55pt;height:23.4pt;z-index:-251651072" arcsize="10923f">
            <v:shadow on="t" offset="3pt" offset2="2pt"/>
            <v:textbox>
              <w:txbxContent>
                <w:p w:rsidR="00B374FE" w:rsidRPr="00B374FE" w:rsidRDefault="00B374FE">
                  <w:pPr>
                    <w:rPr>
                      <w:rFonts w:asciiTheme="minorHAnsi" w:hAnsiTheme="minorHAnsi"/>
                    </w:rPr>
                  </w:pPr>
                  <w:r w:rsidRPr="00B374FE">
                    <w:rPr>
                      <w:rFonts w:asciiTheme="minorHAnsi" w:hAnsiTheme="minorHAnsi"/>
                    </w:rPr>
                    <w:t>ADMINISTRATIVE DETAILS</w:t>
                  </w:r>
                </w:p>
              </w:txbxContent>
            </v:textbox>
          </v:roundrect>
        </w:pict>
      </w:r>
    </w:p>
    <w:p w:rsidR="00B26841" w:rsidRDefault="00B26841">
      <w:pPr>
        <w:rPr>
          <w:rFonts w:asciiTheme="minorHAnsi" w:hAnsiTheme="minorHAnsi"/>
        </w:rPr>
      </w:pPr>
    </w:p>
    <w:p w:rsidR="00B374FE" w:rsidRDefault="00B374FE">
      <w:pPr>
        <w:rPr>
          <w:rFonts w:asciiTheme="minorHAnsi" w:hAnsiTheme="minorHAnsi"/>
        </w:rPr>
      </w:pPr>
    </w:p>
    <w:tbl>
      <w:tblPr>
        <w:tblW w:w="5095" w:type="dxa"/>
        <w:shd w:val="pct10" w:color="auto" w:fill="auto"/>
        <w:tblLayout w:type="fixed"/>
        <w:tblLook w:val="04A0"/>
      </w:tblPr>
      <w:tblGrid>
        <w:gridCol w:w="1723"/>
        <w:gridCol w:w="292"/>
        <w:gridCol w:w="3080"/>
      </w:tblGrid>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246303" w:rsidP="00095BF6">
            <w:pPr>
              <w:ind w:right="308"/>
              <w:jc w:val="both"/>
              <w:rPr>
                <w:rFonts w:asciiTheme="minorHAnsi" w:hAnsiTheme="minorHAnsi" w:cs="Segoe UI Semibold"/>
                <w:sz w:val="20"/>
              </w:rPr>
            </w:pPr>
            <w:r>
              <w:rPr>
                <w:rFonts w:asciiTheme="minorHAnsi" w:hAnsiTheme="minorHAnsi" w:cs="Segoe UI Semibold"/>
                <w:sz w:val="20"/>
              </w:rPr>
              <w:t>10 Aug/13 Oct/01 Dec 2016</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B374FE" w:rsidP="00B374FE">
            <w:pPr>
              <w:ind w:right="308"/>
              <w:jc w:val="both"/>
              <w:rPr>
                <w:rFonts w:asciiTheme="minorHAnsi" w:hAnsiTheme="minorHAnsi" w:cs="Segoe UI Semibold"/>
                <w:sz w:val="20"/>
              </w:rPr>
            </w:pPr>
            <w:r>
              <w:rPr>
                <w:rFonts w:asciiTheme="minorHAnsi" w:hAnsiTheme="minorHAnsi" w:cs="Segoe UI Semibold"/>
                <w:sz w:val="20"/>
              </w:rPr>
              <w:t>Half-day(</w:t>
            </w:r>
            <w:r w:rsidR="000D57B6">
              <w:rPr>
                <w:rFonts w:asciiTheme="minorHAnsi" w:hAnsiTheme="minorHAnsi" w:cs="Segoe UI Semibold"/>
                <w:sz w:val="20"/>
              </w:rPr>
              <w:t>0900 – 1</w:t>
            </w:r>
            <w:r>
              <w:rPr>
                <w:rFonts w:asciiTheme="minorHAnsi" w:hAnsiTheme="minorHAnsi" w:cs="Segoe UI Semibold"/>
                <w:sz w:val="20"/>
              </w:rPr>
              <w:t>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246303" w:rsidP="00D102CC">
            <w:pPr>
              <w:ind w:right="308"/>
              <w:jc w:val="both"/>
              <w:rPr>
                <w:rFonts w:asciiTheme="minorHAnsi" w:hAnsiTheme="minorHAnsi" w:cs="Segoe UI Semibold"/>
                <w:sz w:val="20"/>
              </w:rPr>
            </w:pPr>
            <w:r>
              <w:rPr>
                <w:rFonts w:asciiTheme="minorHAnsi" w:hAnsiTheme="minorHAnsi" w:cs="Segoe UI Semibold"/>
                <w:sz w:val="20"/>
              </w:rPr>
              <w:t>Hilton Petaling Jaya</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D90843" w:rsidP="001969FF">
            <w:pPr>
              <w:ind w:right="308"/>
              <w:jc w:val="both"/>
              <w:rPr>
                <w:rFonts w:asciiTheme="minorHAnsi" w:hAnsiTheme="minorHAnsi" w:cs="Segoe UI Semibold"/>
                <w:sz w:val="20"/>
              </w:rPr>
            </w:pPr>
            <w:r w:rsidRPr="00D90843">
              <w:rPr>
                <w:rFonts w:asciiTheme="minorHAnsi" w:hAnsiTheme="minorHAnsi" w:cs="Segoe UI Semibold"/>
                <w:sz w:val="20"/>
              </w:rPr>
              <w:t>RM</w:t>
            </w:r>
            <w:r w:rsidR="001969FF">
              <w:rPr>
                <w:rFonts w:asciiTheme="minorHAnsi" w:hAnsiTheme="minorHAnsi" w:cs="Segoe UI Semibold"/>
                <w:sz w:val="20"/>
              </w:rPr>
              <w:t>932</w:t>
            </w:r>
            <w:r w:rsidRPr="00D90843">
              <w:rPr>
                <w:rFonts w:asciiTheme="minorHAnsi" w:hAnsiTheme="minorHAnsi" w:cs="Segoe UI Semibold"/>
                <w:sz w:val="20"/>
              </w:rPr>
              <w:t>.</w:t>
            </w:r>
            <w:r w:rsidR="001969FF">
              <w:rPr>
                <w:rFonts w:asciiTheme="minorHAnsi" w:hAnsiTheme="minorHAnsi" w:cs="Segoe UI Semibold"/>
                <w:sz w:val="20"/>
              </w:rPr>
              <w:t>8</w:t>
            </w:r>
            <w:r w:rsidRPr="00D90843">
              <w:rPr>
                <w:rFonts w:asciiTheme="minorHAnsi" w:hAnsiTheme="minorHAnsi" w:cs="Segoe UI Semibold"/>
                <w:sz w:val="20"/>
              </w:rPr>
              <w:t xml:space="preserve">0 per participant </w:t>
            </w:r>
            <w:r w:rsidRPr="00D90843">
              <w:rPr>
                <w:rFonts w:asciiTheme="minorHAnsi" w:hAnsiTheme="minorHAnsi" w:cs="Segoe UI Semibold"/>
                <w:bCs/>
                <w:sz w:val="20"/>
              </w:rPr>
              <w:t>(</w:t>
            </w:r>
            <w:r w:rsidR="00C97D66">
              <w:rPr>
                <w:rFonts w:asciiTheme="minorHAnsi" w:hAnsiTheme="minorHAnsi" w:cs="Segoe UI Semibold"/>
                <w:bCs/>
                <w:sz w:val="20"/>
              </w:rPr>
              <w:t xml:space="preserve">Fee is inclusive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852B64" w:rsidRDefault="00852B64">
      <w:pPr>
        <w:rPr>
          <w:rFonts w:asciiTheme="minorHAnsi" w:hAnsiTheme="minorHAnsi"/>
        </w:rPr>
      </w:pPr>
    </w:p>
    <w:p w:rsidR="00852B64" w:rsidRDefault="00852B64">
      <w:pPr>
        <w:rPr>
          <w:rFonts w:asciiTheme="minorHAnsi" w:hAnsiTheme="minorHAnsi"/>
        </w:rPr>
      </w:pPr>
    </w:p>
    <w:p w:rsidR="00852B64" w:rsidRDefault="00761725">
      <w:pPr>
        <w:rPr>
          <w:rFonts w:asciiTheme="minorHAnsi" w:hAnsiTheme="minorHAnsi"/>
        </w:rPr>
      </w:pPr>
      <w:r w:rsidRPr="00761725">
        <w:rPr>
          <w:noProof/>
          <w:lang w:val="en-US"/>
        </w:rPr>
        <w:pict>
          <v:roundrect id="_x0000_s1133" style="position:absolute;margin-left:48.2pt;margin-top:4.25pt;width:133.95pt;height:21.8pt;z-index:251743232" arcsize="10923f" fillcolor="white [3201]" strokecolor="#fabf8f [1945]" strokeweight="1pt">
            <v:fill color2="#fbd4b4 [1305]" focusposition="1" focussize="" focus="100%" type="gradient"/>
            <v:shadow on="t" type="perspective" color="#974706 [1609]" opacity=".5" offset="1pt" offset2="-3pt"/>
            <v:textbox>
              <w:txbxContent>
                <w:p w:rsidR="00852B64" w:rsidRDefault="00852B64" w:rsidP="00852B64">
                  <w:pPr>
                    <w:jc w:val="center"/>
                  </w:pPr>
                  <w:r>
                    <w:t>4 CEP POINTS</w:t>
                  </w:r>
                </w:p>
              </w:txbxContent>
            </v:textbox>
          </v:roundrect>
        </w:pict>
      </w:r>
    </w:p>
    <w:p w:rsidR="00852B64" w:rsidRDefault="00852B64">
      <w:pPr>
        <w:rPr>
          <w:rFonts w:asciiTheme="minorHAnsi" w:hAnsiTheme="minorHAnsi"/>
        </w:rPr>
      </w:pPr>
    </w:p>
    <w:p w:rsidR="00852B64" w:rsidRDefault="00852B64">
      <w:pPr>
        <w:rPr>
          <w:rFonts w:asciiTheme="minorHAnsi" w:hAnsiTheme="minorHAnsi"/>
        </w:rPr>
      </w:pPr>
    </w:p>
    <w:p w:rsidR="00852B64" w:rsidRDefault="00852B64">
      <w:pPr>
        <w:rPr>
          <w:rFonts w:asciiTheme="minorHAnsi" w:hAnsiTheme="minorHAnsi"/>
        </w:rPr>
      </w:pPr>
    </w:p>
    <w:p w:rsidR="00852B64" w:rsidRDefault="00852B64">
      <w:pPr>
        <w:rPr>
          <w:rFonts w:asciiTheme="minorHAnsi" w:hAnsiTheme="minorHAnsi"/>
        </w:rPr>
      </w:pPr>
    </w:p>
    <w:p w:rsidR="00D23F0F" w:rsidRPr="00B26841" w:rsidRDefault="00D23F0F">
      <w:pPr>
        <w:rPr>
          <w:rFonts w:asciiTheme="minorHAnsi" w:hAnsiTheme="minorHAnsi"/>
        </w:rPr>
        <w:sectPr w:rsidR="00D23F0F" w:rsidRPr="00B26841" w:rsidSect="00800675">
          <w:type w:val="continuous"/>
          <w:pgSz w:w="11906" w:h="16838" w:code="9"/>
          <w:pgMar w:top="1440" w:right="1080" w:bottom="1440" w:left="1080" w:header="0" w:footer="0" w:gutter="0"/>
          <w:cols w:num="2" w:sep="1" w:space="567"/>
          <w:titlePg/>
          <w:docGrid w:linePitch="299"/>
        </w:sectPr>
      </w:pPr>
    </w:p>
    <w:p w:rsidR="00095BF6" w:rsidRDefault="00095BF6"/>
    <w:p w:rsidR="00095BF6" w:rsidRDefault="00095BF6"/>
    <w:p w:rsidR="00095BF6" w:rsidRDefault="00095BF6"/>
    <w:p w:rsidR="00095BF6" w:rsidRDefault="00095BF6"/>
    <w:p w:rsidR="00095BF6" w:rsidRDefault="00095BF6"/>
    <w:p w:rsidR="00095BF6" w:rsidRDefault="00095BF6"/>
    <w:p w:rsidR="00095BF6" w:rsidRDefault="00095BF6"/>
    <w:p w:rsidR="00095BF6" w:rsidRDefault="00095BF6"/>
    <w:p w:rsidR="00095BF6" w:rsidRDefault="00095BF6"/>
    <w:p w:rsidR="00095BF6" w:rsidRDefault="00095BF6"/>
    <w:p w:rsidR="00095BF6" w:rsidRDefault="00095BF6"/>
    <w:p w:rsidR="00095BF6" w:rsidRDefault="00095BF6"/>
    <w:p w:rsidR="003F6F40" w:rsidRDefault="003F6F40"/>
    <w:p w:rsidR="00BC0460" w:rsidRDefault="00BC0460" w:rsidP="00BC0460">
      <w:pPr>
        <w:jc w:val="both"/>
        <w:rPr>
          <w:rFonts w:asciiTheme="minorHAnsi" w:hAnsiTheme="minorHAnsi"/>
          <w:sz w:val="20"/>
        </w:rPr>
        <w:sectPr w:rsidR="00BC0460" w:rsidSect="00800675">
          <w:type w:val="continuous"/>
          <w:pgSz w:w="11906" w:h="16838" w:code="9"/>
          <w:pgMar w:top="806" w:right="922" w:bottom="900" w:left="1800" w:header="0" w:footer="0" w:gutter="0"/>
          <w:cols w:num="2" w:space="284"/>
          <w:titlePg/>
          <w:docGrid w:linePitch="299"/>
        </w:sectPr>
      </w:pPr>
    </w:p>
    <w:p w:rsidR="00C10685" w:rsidRDefault="00761725" w:rsidP="00794E40">
      <w:pPr>
        <w:rPr>
          <w:rFonts w:asciiTheme="minorHAnsi" w:hAnsiTheme="minorHAnsi"/>
          <w:szCs w:val="22"/>
        </w:rPr>
      </w:pPr>
      <w:r w:rsidRPr="00761725">
        <w:rPr>
          <w:rFonts w:asciiTheme="minorHAnsi" w:hAnsiTheme="minorHAnsi"/>
          <w:noProof/>
          <w:lang w:val="en-US"/>
        </w:rPr>
        <w:lastRenderedPageBreak/>
        <w:pict>
          <v:roundrect id="_x0000_s1052" style="position:absolute;margin-left:-19.05pt;margin-top:7.45pt;width:150.55pt;height:23.4pt;z-index:-251650048" arcsize="10923f">
            <v:shadow on="t" offset="3pt" offset2="2pt"/>
            <v:textbox>
              <w:txbxContent>
                <w:p w:rsidR="00BC0460" w:rsidRPr="00C10685" w:rsidRDefault="00C10685">
                  <w:pPr>
                    <w:rPr>
                      <w:rFonts w:asciiTheme="minorHAnsi" w:hAnsiTheme="minorHAnsi"/>
                    </w:rPr>
                  </w:pPr>
                  <w:r w:rsidRPr="00C10685">
                    <w:rPr>
                      <w:rFonts w:asciiTheme="minorHAnsi" w:hAnsiTheme="minorHAnsi"/>
                    </w:rPr>
                    <w:t>PRESENTER’S PROFILE</w:t>
                  </w:r>
                </w:p>
              </w:txbxContent>
            </v:textbox>
          </v:roundrect>
        </w:pict>
      </w:r>
    </w:p>
    <w:p w:rsidR="00C10685" w:rsidRDefault="00C10685" w:rsidP="00794E40">
      <w:pPr>
        <w:rPr>
          <w:rFonts w:asciiTheme="minorHAnsi" w:hAnsiTheme="minorHAnsi"/>
          <w:szCs w:val="22"/>
        </w:rPr>
      </w:pPr>
    </w:p>
    <w:p w:rsidR="00C10685" w:rsidRDefault="00C10685" w:rsidP="00794E40">
      <w:pPr>
        <w:rPr>
          <w:rFonts w:asciiTheme="minorHAnsi" w:hAnsiTheme="minorHAnsi"/>
          <w:szCs w:val="22"/>
        </w:rPr>
      </w:pPr>
    </w:p>
    <w:p w:rsidR="00794E40" w:rsidRDefault="00794E40" w:rsidP="00852B64">
      <w:pPr>
        <w:ind w:left="-284"/>
        <w:jc w:val="both"/>
        <w:rPr>
          <w:rFonts w:asciiTheme="minorHAnsi" w:hAnsiTheme="minorHAnsi"/>
          <w:szCs w:val="22"/>
        </w:rPr>
      </w:pPr>
      <w:r w:rsidRPr="00794E40">
        <w:rPr>
          <w:rFonts w:asciiTheme="minorHAnsi" w:hAnsiTheme="minorHAnsi"/>
          <w:szCs w:val="22"/>
        </w:rPr>
        <w:t>MR S.</w:t>
      </w:r>
      <w:r w:rsidR="00AE0757">
        <w:rPr>
          <w:rFonts w:asciiTheme="minorHAnsi" w:hAnsiTheme="minorHAnsi"/>
          <w:szCs w:val="22"/>
        </w:rPr>
        <w:t xml:space="preserve"> </w:t>
      </w:r>
      <w:r w:rsidRPr="00794E40">
        <w:rPr>
          <w:rFonts w:asciiTheme="minorHAnsi" w:hAnsiTheme="minorHAnsi"/>
          <w:szCs w:val="22"/>
        </w:rPr>
        <w:t>LOGANATHAN, who is currently the Consulting Editor, Business Times at the New Straits</w:t>
      </w:r>
      <w:r w:rsidR="00AE0757">
        <w:rPr>
          <w:rFonts w:asciiTheme="minorHAnsi" w:hAnsiTheme="minorHAnsi"/>
          <w:szCs w:val="22"/>
        </w:rPr>
        <w:t xml:space="preserve"> </w:t>
      </w:r>
      <w:r w:rsidRPr="00794E40">
        <w:rPr>
          <w:rFonts w:asciiTheme="minorHAnsi" w:hAnsiTheme="minorHAnsi"/>
          <w:szCs w:val="22"/>
        </w:rPr>
        <w:t>Times, has more than 30 years of experience encompassing the financial media, the Bursa</w:t>
      </w:r>
      <w:r w:rsidR="00AE0757">
        <w:rPr>
          <w:rFonts w:asciiTheme="minorHAnsi" w:hAnsiTheme="minorHAnsi"/>
          <w:szCs w:val="22"/>
        </w:rPr>
        <w:t xml:space="preserve"> </w:t>
      </w:r>
      <w:r w:rsidRPr="00794E40">
        <w:rPr>
          <w:rFonts w:asciiTheme="minorHAnsi" w:hAnsiTheme="minorHAnsi"/>
          <w:szCs w:val="22"/>
        </w:rPr>
        <w:t>Malaysia group and Perbadanan Insurans Deposit Malaysia (PIDM) as well as the financial</w:t>
      </w:r>
      <w:r w:rsidR="00AE0757">
        <w:rPr>
          <w:rFonts w:asciiTheme="minorHAnsi" w:hAnsiTheme="minorHAnsi"/>
          <w:szCs w:val="22"/>
        </w:rPr>
        <w:t xml:space="preserve"> </w:t>
      </w:r>
      <w:r w:rsidRPr="00794E40">
        <w:rPr>
          <w:rFonts w:asciiTheme="minorHAnsi" w:hAnsiTheme="minorHAnsi"/>
          <w:szCs w:val="22"/>
        </w:rPr>
        <w:t>communications and investor relations industry.</w:t>
      </w:r>
    </w:p>
    <w:p w:rsidR="00C10685" w:rsidRPr="00794E40" w:rsidRDefault="00C10685" w:rsidP="00852B64">
      <w:pPr>
        <w:ind w:left="-284"/>
        <w:jc w:val="both"/>
        <w:rPr>
          <w:rFonts w:asciiTheme="minorHAnsi" w:hAnsiTheme="minorHAnsi"/>
          <w:szCs w:val="22"/>
        </w:rPr>
      </w:pPr>
    </w:p>
    <w:p w:rsidR="00794E40" w:rsidRDefault="00794E40" w:rsidP="00852B64">
      <w:pPr>
        <w:ind w:left="-284"/>
        <w:jc w:val="both"/>
        <w:rPr>
          <w:rFonts w:asciiTheme="minorHAnsi" w:hAnsiTheme="minorHAnsi"/>
          <w:szCs w:val="22"/>
        </w:rPr>
      </w:pPr>
      <w:r w:rsidRPr="00794E40">
        <w:rPr>
          <w:rFonts w:asciiTheme="minorHAnsi" w:hAnsiTheme="minorHAnsi"/>
          <w:szCs w:val="22"/>
        </w:rPr>
        <w:t>He started his career as a journalist with Bernama and then with Business Times, where</w:t>
      </w:r>
      <w:r w:rsidR="00AE0757">
        <w:rPr>
          <w:rFonts w:asciiTheme="minorHAnsi" w:hAnsiTheme="minorHAnsi"/>
          <w:szCs w:val="22"/>
        </w:rPr>
        <w:t xml:space="preserve"> </w:t>
      </w:r>
      <w:r w:rsidRPr="00794E40">
        <w:rPr>
          <w:rFonts w:asciiTheme="minorHAnsi" w:hAnsiTheme="minorHAnsi"/>
          <w:szCs w:val="22"/>
        </w:rPr>
        <w:t>during his six-year stint as a financial journalist, he specialised in writing corporate, stock</w:t>
      </w:r>
      <w:r w:rsidR="00AE0757">
        <w:rPr>
          <w:rFonts w:asciiTheme="minorHAnsi" w:hAnsiTheme="minorHAnsi"/>
          <w:szCs w:val="22"/>
        </w:rPr>
        <w:t xml:space="preserve"> </w:t>
      </w:r>
      <w:r w:rsidRPr="00794E40">
        <w:rPr>
          <w:rFonts w:asciiTheme="minorHAnsi" w:hAnsiTheme="minorHAnsi"/>
          <w:szCs w:val="22"/>
        </w:rPr>
        <w:t>market and securities industry news and articles.</w:t>
      </w:r>
    </w:p>
    <w:p w:rsidR="00C10685" w:rsidRPr="00794E40" w:rsidRDefault="00C10685" w:rsidP="00852B64">
      <w:pPr>
        <w:ind w:left="-284"/>
        <w:jc w:val="both"/>
        <w:rPr>
          <w:rFonts w:asciiTheme="minorHAnsi" w:hAnsiTheme="minorHAnsi"/>
          <w:szCs w:val="22"/>
        </w:rPr>
      </w:pPr>
    </w:p>
    <w:p w:rsidR="00794E40" w:rsidRDefault="00794E40" w:rsidP="00852B64">
      <w:pPr>
        <w:ind w:left="-284"/>
        <w:jc w:val="both"/>
        <w:rPr>
          <w:rFonts w:asciiTheme="minorHAnsi" w:hAnsiTheme="minorHAnsi"/>
          <w:szCs w:val="22"/>
        </w:rPr>
      </w:pPr>
      <w:r w:rsidRPr="00794E40">
        <w:rPr>
          <w:rFonts w:asciiTheme="minorHAnsi" w:hAnsiTheme="minorHAnsi"/>
          <w:szCs w:val="22"/>
        </w:rPr>
        <w:t>Loganathan subsequently joined the Bursa Malaysia (then known as the Kuala Lumpur Stock</w:t>
      </w:r>
      <w:r w:rsidR="00AE0757">
        <w:rPr>
          <w:rFonts w:asciiTheme="minorHAnsi" w:hAnsiTheme="minorHAnsi"/>
          <w:szCs w:val="22"/>
        </w:rPr>
        <w:t xml:space="preserve"> </w:t>
      </w:r>
      <w:r w:rsidRPr="00794E40">
        <w:rPr>
          <w:rFonts w:asciiTheme="minorHAnsi" w:hAnsiTheme="minorHAnsi"/>
          <w:szCs w:val="22"/>
        </w:rPr>
        <w:t>Exchange) group in 1990 and rose through the ranks, holding various senior positions</w:t>
      </w:r>
      <w:r w:rsidR="00AE0757">
        <w:rPr>
          <w:rFonts w:asciiTheme="minorHAnsi" w:hAnsiTheme="minorHAnsi"/>
          <w:szCs w:val="22"/>
        </w:rPr>
        <w:t xml:space="preserve"> </w:t>
      </w:r>
      <w:r w:rsidRPr="00794E40">
        <w:rPr>
          <w:rFonts w:asciiTheme="minorHAnsi" w:hAnsiTheme="minorHAnsi"/>
          <w:szCs w:val="22"/>
        </w:rPr>
        <w:t>including that as Senior Vice President, Market Development at KLSE. He was the General</w:t>
      </w:r>
      <w:r w:rsidR="00AE0757">
        <w:rPr>
          <w:rFonts w:asciiTheme="minorHAnsi" w:hAnsiTheme="minorHAnsi"/>
          <w:szCs w:val="22"/>
        </w:rPr>
        <w:t xml:space="preserve"> </w:t>
      </w:r>
      <w:r w:rsidRPr="00794E40">
        <w:rPr>
          <w:rFonts w:asciiTheme="minorHAnsi" w:hAnsiTheme="minorHAnsi"/>
          <w:szCs w:val="22"/>
        </w:rPr>
        <w:t>Manager the Labuan International Financial Exchange when he left the Bursa Malaysia group</w:t>
      </w:r>
      <w:r w:rsidR="00AE0757">
        <w:rPr>
          <w:rFonts w:asciiTheme="minorHAnsi" w:hAnsiTheme="minorHAnsi"/>
          <w:szCs w:val="22"/>
        </w:rPr>
        <w:t xml:space="preserve"> </w:t>
      </w:r>
      <w:r w:rsidRPr="00794E40">
        <w:rPr>
          <w:rFonts w:asciiTheme="minorHAnsi" w:hAnsiTheme="minorHAnsi"/>
          <w:szCs w:val="22"/>
        </w:rPr>
        <w:t>in 2004 to set up the Malaysian office of Wer-1 Consultants, a consultancy firm specialising in</w:t>
      </w:r>
      <w:r w:rsidR="00AE0757">
        <w:rPr>
          <w:rFonts w:asciiTheme="minorHAnsi" w:hAnsiTheme="minorHAnsi"/>
          <w:szCs w:val="22"/>
        </w:rPr>
        <w:t xml:space="preserve"> </w:t>
      </w:r>
      <w:r w:rsidRPr="00794E40">
        <w:rPr>
          <w:rFonts w:asciiTheme="minorHAnsi" w:hAnsiTheme="minorHAnsi"/>
          <w:szCs w:val="22"/>
        </w:rPr>
        <w:t>investor relations and media strategy services with its head office in Singapore.</w:t>
      </w:r>
    </w:p>
    <w:p w:rsidR="00C10685" w:rsidRPr="00794E40" w:rsidRDefault="00C10685" w:rsidP="00852B64">
      <w:pPr>
        <w:ind w:left="-284"/>
        <w:jc w:val="both"/>
        <w:rPr>
          <w:rFonts w:asciiTheme="minorHAnsi" w:hAnsiTheme="minorHAnsi"/>
          <w:szCs w:val="22"/>
        </w:rPr>
      </w:pPr>
    </w:p>
    <w:p w:rsidR="00794E40" w:rsidRDefault="00794E40" w:rsidP="00852B64">
      <w:pPr>
        <w:ind w:left="-284"/>
        <w:jc w:val="both"/>
        <w:rPr>
          <w:rFonts w:asciiTheme="minorHAnsi" w:hAnsiTheme="minorHAnsi"/>
          <w:szCs w:val="22"/>
        </w:rPr>
      </w:pPr>
      <w:r w:rsidRPr="00794E40">
        <w:rPr>
          <w:rFonts w:asciiTheme="minorHAnsi" w:hAnsiTheme="minorHAnsi"/>
          <w:szCs w:val="22"/>
        </w:rPr>
        <w:t>In 2006, Loganathan joined Perbadanan Insurans Deposit Malaysia (PIDM) as its General</w:t>
      </w:r>
      <w:r w:rsidR="00AE0757">
        <w:rPr>
          <w:rFonts w:asciiTheme="minorHAnsi" w:hAnsiTheme="minorHAnsi"/>
          <w:szCs w:val="22"/>
        </w:rPr>
        <w:t xml:space="preserve"> </w:t>
      </w:r>
      <w:r w:rsidRPr="00794E40">
        <w:rPr>
          <w:rFonts w:asciiTheme="minorHAnsi" w:hAnsiTheme="minorHAnsi"/>
          <w:szCs w:val="22"/>
        </w:rPr>
        <w:t>Manager for Communications and Public Affairs. During his five years there, he was</w:t>
      </w:r>
      <w:r w:rsidR="00AE0757">
        <w:rPr>
          <w:rFonts w:asciiTheme="minorHAnsi" w:hAnsiTheme="minorHAnsi"/>
          <w:szCs w:val="22"/>
        </w:rPr>
        <w:t xml:space="preserve"> </w:t>
      </w:r>
      <w:r w:rsidRPr="00794E40">
        <w:rPr>
          <w:rFonts w:asciiTheme="minorHAnsi" w:hAnsiTheme="minorHAnsi"/>
          <w:szCs w:val="22"/>
        </w:rPr>
        <w:t>responsible for communications and public relations as well as managing the public</w:t>
      </w:r>
      <w:r w:rsidR="00AE0757">
        <w:rPr>
          <w:rFonts w:asciiTheme="minorHAnsi" w:hAnsiTheme="minorHAnsi"/>
          <w:szCs w:val="22"/>
        </w:rPr>
        <w:t xml:space="preserve"> </w:t>
      </w:r>
      <w:r w:rsidRPr="00794E40">
        <w:rPr>
          <w:rFonts w:asciiTheme="minorHAnsi" w:hAnsiTheme="minorHAnsi"/>
          <w:szCs w:val="22"/>
        </w:rPr>
        <w:t>awareness programmes of the national deposit insurance agency.</w:t>
      </w:r>
    </w:p>
    <w:p w:rsidR="00C10685" w:rsidRPr="00794E40" w:rsidRDefault="00C10685" w:rsidP="00852B64">
      <w:pPr>
        <w:ind w:left="-284"/>
        <w:jc w:val="both"/>
        <w:rPr>
          <w:rFonts w:asciiTheme="minorHAnsi" w:hAnsiTheme="minorHAnsi"/>
          <w:szCs w:val="22"/>
        </w:rPr>
      </w:pPr>
    </w:p>
    <w:p w:rsidR="003F6F40" w:rsidRPr="00794E40" w:rsidRDefault="00794E40" w:rsidP="00852B64">
      <w:pPr>
        <w:ind w:left="-284"/>
        <w:jc w:val="both"/>
        <w:rPr>
          <w:rFonts w:asciiTheme="minorHAnsi" w:hAnsiTheme="minorHAnsi"/>
          <w:szCs w:val="22"/>
        </w:rPr>
      </w:pPr>
      <w:r w:rsidRPr="00794E40">
        <w:rPr>
          <w:rFonts w:asciiTheme="minorHAnsi" w:hAnsiTheme="minorHAnsi"/>
          <w:szCs w:val="22"/>
        </w:rPr>
        <w:t>Before joining the New Straits Times in September 2014, Loganathan was a consultant with</w:t>
      </w:r>
      <w:r w:rsidR="00AE0757">
        <w:rPr>
          <w:rFonts w:asciiTheme="minorHAnsi" w:hAnsiTheme="minorHAnsi"/>
          <w:szCs w:val="22"/>
        </w:rPr>
        <w:t xml:space="preserve"> </w:t>
      </w:r>
      <w:r w:rsidRPr="00794E40">
        <w:rPr>
          <w:rFonts w:asciiTheme="minorHAnsi" w:hAnsiTheme="minorHAnsi"/>
          <w:szCs w:val="22"/>
        </w:rPr>
        <w:t>Bursatra Sdn Bhd. More recently, he was the Client Services Director at Eric Pringle</w:t>
      </w:r>
      <w:r w:rsidR="00AE0757">
        <w:rPr>
          <w:rFonts w:asciiTheme="minorHAnsi" w:hAnsiTheme="minorHAnsi"/>
          <w:szCs w:val="22"/>
        </w:rPr>
        <w:t xml:space="preserve"> </w:t>
      </w:r>
      <w:r w:rsidRPr="00794E40">
        <w:rPr>
          <w:rFonts w:asciiTheme="minorHAnsi" w:hAnsiTheme="minorHAnsi"/>
          <w:szCs w:val="22"/>
        </w:rPr>
        <w:t>Associates PR Sdn Bhd, an established public relations firm in Kuala Lumpur.</w:t>
      </w:r>
      <w:r w:rsidR="00AE0757">
        <w:rPr>
          <w:rFonts w:asciiTheme="minorHAnsi" w:hAnsiTheme="minorHAnsi"/>
          <w:szCs w:val="22"/>
        </w:rPr>
        <w:t xml:space="preserve"> </w:t>
      </w:r>
      <w:r w:rsidRPr="00794E40">
        <w:rPr>
          <w:rFonts w:asciiTheme="minorHAnsi" w:hAnsiTheme="minorHAnsi"/>
          <w:szCs w:val="22"/>
        </w:rPr>
        <w:t>Loga graduated from Universiti Kebangsaan Malaysia with a BBA (Hons) degree in 1984.</w:t>
      </w:r>
    </w:p>
    <w:p w:rsidR="001969FF" w:rsidRDefault="001969FF"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pPr>
    </w:p>
    <w:p w:rsidR="003D4F0B" w:rsidRDefault="003D4F0B" w:rsidP="00D90843">
      <w:pPr>
        <w:rPr>
          <w:rFonts w:asciiTheme="minorHAnsi" w:hAnsiTheme="minorHAnsi"/>
        </w:rPr>
        <w:sectPr w:rsidR="003D4F0B" w:rsidSect="001969FF">
          <w:type w:val="continuous"/>
          <w:pgSz w:w="11906" w:h="16838" w:code="9"/>
          <w:pgMar w:top="806" w:right="922" w:bottom="900" w:left="1800" w:header="0" w:footer="0" w:gutter="0"/>
          <w:cols w:space="284"/>
          <w:titlePg/>
          <w:docGrid w:linePitch="299"/>
        </w:sectPr>
      </w:pPr>
    </w:p>
    <w:p w:rsidR="00C97D66" w:rsidRDefault="00C97D66" w:rsidP="00D90843">
      <w:pPr>
        <w:rPr>
          <w:rFonts w:asciiTheme="minorHAnsi" w:hAnsiTheme="minorHAnsi"/>
        </w:rPr>
      </w:pPr>
    </w:p>
    <w:p w:rsidR="00D90843" w:rsidRDefault="00D90843">
      <w:pPr>
        <w:sectPr w:rsidR="00D90843" w:rsidSect="00800675">
          <w:type w:val="continuous"/>
          <w:pgSz w:w="11906" w:h="16838" w:code="9"/>
          <w:pgMar w:top="806" w:right="922" w:bottom="900" w:left="1800" w:header="0" w:footer="0" w:gutter="0"/>
          <w:cols w:num="2" w:space="284"/>
          <w:titlePg/>
          <w:docGrid w:linePitch="299"/>
        </w:sect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0D57B6" w:rsidRDefault="00AE0757" w:rsidP="000D57B6">
      <w:pPr>
        <w:jc w:val="center"/>
        <w:rPr>
          <w:rFonts w:asciiTheme="minorHAnsi" w:hAnsiTheme="minorHAnsi"/>
          <w:sz w:val="24"/>
          <w:szCs w:val="24"/>
        </w:rPr>
      </w:pPr>
      <w:r w:rsidRPr="00AE0757">
        <w:rPr>
          <w:rFonts w:asciiTheme="majorHAnsi" w:eastAsiaTheme="majorEastAsia" w:hAnsiTheme="majorHAnsi" w:cstheme="majorBidi"/>
          <w:b/>
          <w:bCs/>
          <w:color w:val="365F91" w:themeColor="accent1" w:themeShade="BF"/>
          <w:sz w:val="36"/>
          <w:szCs w:val="36"/>
        </w:rPr>
        <w:t>Financial Communications and Effective Media Management</w:t>
      </w:r>
      <w:r w:rsidR="006807E9">
        <w:rPr>
          <w:rFonts w:asciiTheme="minorHAnsi" w:hAnsiTheme="minorHAnsi"/>
          <w:sz w:val="24"/>
          <w:szCs w:val="24"/>
        </w:rPr>
        <w:br/>
      </w:r>
      <w:r w:rsidR="000D57B6">
        <w:rPr>
          <w:rFonts w:asciiTheme="minorHAnsi" w:hAnsiTheme="minorHAnsi"/>
          <w:sz w:val="24"/>
          <w:szCs w:val="24"/>
        </w:rPr>
        <w:t>0900 – 1</w:t>
      </w:r>
      <w:r w:rsidR="001969FF">
        <w:rPr>
          <w:rFonts w:asciiTheme="minorHAnsi" w:hAnsiTheme="minorHAnsi"/>
          <w:sz w:val="24"/>
          <w:szCs w:val="24"/>
        </w:rPr>
        <w:t>3</w:t>
      </w:r>
      <w:r w:rsidR="003954D3">
        <w:rPr>
          <w:rFonts w:asciiTheme="minorHAnsi" w:hAnsiTheme="minorHAnsi"/>
          <w:sz w:val="24"/>
          <w:szCs w:val="24"/>
        </w:rPr>
        <w:t>00</w:t>
      </w:r>
      <w:r w:rsidR="00C706E0">
        <w:rPr>
          <w:rFonts w:asciiTheme="minorHAnsi" w:hAnsiTheme="minorHAnsi"/>
          <w:sz w:val="24"/>
          <w:szCs w:val="24"/>
        </w:rPr>
        <w:t xml:space="preserve"> hours</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761725">
      <w:pPr>
        <w:rPr>
          <w:rFonts w:asciiTheme="minorHAnsi" w:hAnsiTheme="minorHAnsi"/>
          <w:sz w:val="24"/>
          <w:szCs w:val="24"/>
        </w:rPr>
      </w:pPr>
      <w:r w:rsidRPr="00761725">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250"/>
        <w:gridCol w:w="2126"/>
        <w:gridCol w:w="426"/>
        <w:gridCol w:w="2126"/>
        <w:gridCol w:w="283"/>
        <w:gridCol w:w="2637"/>
        <w:gridCol w:w="270"/>
        <w:gridCol w:w="270"/>
      </w:tblGrid>
      <w:tr w:rsidR="00FB169B" w:rsidRPr="00E76169" w:rsidTr="00246303">
        <w:tc>
          <w:tcPr>
            <w:tcW w:w="250" w:type="dxa"/>
          </w:tcPr>
          <w:p w:rsidR="00FB169B" w:rsidRPr="00E76169" w:rsidRDefault="00761725" w:rsidP="00D102CC">
            <w:pPr>
              <w:rPr>
                <w:rFonts w:asciiTheme="minorHAnsi" w:hAnsiTheme="minorHAnsi"/>
                <w:sz w:val="24"/>
                <w:szCs w:val="24"/>
                <w:lang w:val="en-US"/>
              </w:rPr>
            </w:pPr>
            <w:r>
              <w:rPr>
                <w:rFonts w:asciiTheme="minorHAnsi" w:hAnsiTheme="minorHAnsi"/>
                <w:noProof/>
                <w:sz w:val="24"/>
                <w:szCs w:val="24"/>
                <w:lang w:val="en-US"/>
              </w:rPr>
              <w:pict>
                <v:rect id="_x0000_s1123" style="position:absolute;margin-left:-5.25pt;margin-top:0;width:10.65pt;height:10.05pt;z-index:251739136;mso-position-vertical:top;mso-position-vertical-relative:margin">
                  <v:shadow on="t" offset=",3pt" offset2=",2pt"/>
                  <w10:wrap anchory="margin"/>
                </v:rect>
              </w:pict>
            </w:r>
          </w:p>
        </w:tc>
        <w:tc>
          <w:tcPr>
            <w:tcW w:w="2126" w:type="dxa"/>
          </w:tcPr>
          <w:p w:rsidR="00FB169B" w:rsidRPr="00E76169" w:rsidRDefault="00246303" w:rsidP="003D4F0B">
            <w:pPr>
              <w:rPr>
                <w:rFonts w:asciiTheme="minorHAnsi" w:hAnsiTheme="minorHAnsi"/>
                <w:sz w:val="24"/>
                <w:szCs w:val="24"/>
                <w:lang w:val="en-US"/>
              </w:rPr>
            </w:pPr>
            <w:r>
              <w:rPr>
                <w:rFonts w:asciiTheme="minorHAnsi" w:hAnsiTheme="minorHAnsi"/>
                <w:sz w:val="24"/>
                <w:szCs w:val="24"/>
                <w:lang w:val="en-US"/>
              </w:rPr>
              <w:t>10</w:t>
            </w:r>
            <w:r w:rsidRPr="00246303">
              <w:rPr>
                <w:rFonts w:asciiTheme="minorHAnsi" w:hAnsiTheme="minorHAnsi"/>
                <w:sz w:val="24"/>
                <w:szCs w:val="24"/>
                <w:vertAlign w:val="superscript"/>
                <w:lang w:val="en-US"/>
              </w:rPr>
              <w:t>th</w:t>
            </w:r>
            <w:r>
              <w:rPr>
                <w:rFonts w:asciiTheme="minorHAnsi" w:hAnsiTheme="minorHAnsi"/>
                <w:sz w:val="24"/>
                <w:szCs w:val="24"/>
                <w:lang w:val="en-US"/>
              </w:rPr>
              <w:t xml:space="preserve"> August</w:t>
            </w:r>
          </w:p>
        </w:tc>
        <w:tc>
          <w:tcPr>
            <w:tcW w:w="426" w:type="dxa"/>
          </w:tcPr>
          <w:p w:rsidR="00FB169B" w:rsidRPr="00E76169" w:rsidRDefault="00761725" w:rsidP="00D102CC">
            <w:pPr>
              <w:rPr>
                <w:rFonts w:asciiTheme="minorHAnsi" w:hAnsiTheme="minorHAnsi"/>
                <w:sz w:val="24"/>
                <w:szCs w:val="24"/>
                <w:lang w:val="en-US"/>
              </w:rPr>
            </w:pPr>
            <w:r w:rsidRPr="00761725">
              <w:rPr>
                <w:rFonts w:asciiTheme="minorHAnsi" w:hAnsiTheme="minorHAnsi"/>
                <w:noProof/>
                <w:color w:val="548DD4" w:themeColor="text2" w:themeTint="99"/>
                <w:sz w:val="24"/>
                <w:szCs w:val="24"/>
                <w:lang w:val="en-US"/>
              </w:rPr>
              <w:pict>
                <v:rect id="_x0000_s1134" style="position:absolute;margin-left:-1.45pt;margin-top:0;width:10.65pt;height:10.05pt;z-index:251744256;mso-position-horizontal-relative:text;mso-position-vertical:top;mso-position-vertical-relative:margin">
                  <v:shadow on="t" offset=",3pt" offset2=",2pt"/>
                  <w10:wrap anchory="margin"/>
                </v:rect>
              </w:pict>
            </w:r>
          </w:p>
        </w:tc>
        <w:tc>
          <w:tcPr>
            <w:tcW w:w="2126" w:type="dxa"/>
          </w:tcPr>
          <w:p w:rsidR="00FB169B" w:rsidRPr="00E76169" w:rsidRDefault="00246303" w:rsidP="00D23F0F">
            <w:pPr>
              <w:rPr>
                <w:rFonts w:asciiTheme="minorHAnsi" w:hAnsiTheme="minorHAnsi"/>
                <w:sz w:val="24"/>
                <w:szCs w:val="24"/>
                <w:lang w:val="en-US"/>
              </w:rPr>
            </w:pPr>
            <w:r>
              <w:rPr>
                <w:rFonts w:asciiTheme="minorHAnsi" w:hAnsiTheme="minorHAnsi"/>
                <w:sz w:val="24"/>
                <w:szCs w:val="24"/>
                <w:lang w:val="en-US"/>
              </w:rPr>
              <w:t>13</w:t>
            </w:r>
            <w:r w:rsidRPr="00246303">
              <w:rPr>
                <w:rFonts w:asciiTheme="minorHAnsi" w:hAnsiTheme="minorHAnsi"/>
                <w:sz w:val="24"/>
                <w:szCs w:val="24"/>
                <w:vertAlign w:val="superscript"/>
                <w:lang w:val="en-US"/>
              </w:rPr>
              <w:t>th</w:t>
            </w:r>
            <w:r>
              <w:rPr>
                <w:rFonts w:asciiTheme="minorHAnsi" w:hAnsiTheme="minorHAnsi"/>
                <w:sz w:val="24"/>
                <w:szCs w:val="24"/>
                <w:lang w:val="en-US"/>
              </w:rPr>
              <w:t xml:space="preserve"> October</w:t>
            </w:r>
          </w:p>
        </w:tc>
        <w:tc>
          <w:tcPr>
            <w:tcW w:w="283" w:type="dxa"/>
          </w:tcPr>
          <w:p w:rsidR="00FB169B" w:rsidRPr="00E76169" w:rsidRDefault="00246303" w:rsidP="00D102CC">
            <w:pPr>
              <w:rPr>
                <w:rFonts w:asciiTheme="minorHAnsi" w:hAnsiTheme="minorHAnsi"/>
                <w:sz w:val="24"/>
                <w:szCs w:val="24"/>
                <w:lang w:val="en-US"/>
              </w:rPr>
            </w:pPr>
            <w:r>
              <w:rPr>
                <w:rFonts w:asciiTheme="minorHAnsi" w:hAnsiTheme="minorHAnsi"/>
                <w:noProof/>
                <w:sz w:val="24"/>
                <w:szCs w:val="24"/>
                <w:lang w:val="en-US"/>
              </w:rPr>
              <w:pict>
                <v:rect id="_x0000_s1136" style="position:absolute;margin-left:-5.05pt;margin-top:.65pt;width:10.65pt;height:10.05pt;z-index:251745280;mso-position-horizontal-relative:text;mso-position-vertical-relative:margin">
                  <v:shadow on="t" offset=",3pt" offset2=",2pt"/>
                  <w10:wrap anchory="margin"/>
                </v:rect>
              </w:pict>
            </w:r>
          </w:p>
        </w:tc>
        <w:tc>
          <w:tcPr>
            <w:tcW w:w="2637" w:type="dxa"/>
          </w:tcPr>
          <w:p w:rsidR="00FB169B" w:rsidRPr="00E76169" w:rsidRDefault="00246303" w:rsidP="00D102CC">
            <w:pPr>
              <w:rPr>
                <w:rFonts w:asciiTheme="minorHAnsi" w:hAnsiTheme="minorHAnsi"/>
                <w:sz w:val="24"/>
                <w:szCs w:val="24"/>
                <w:lang w:val="en-US"/>
              </w:rPr>
            </w:pPr>
            <w:r>
              <w:rPr>
                <w:rFonts w:asciiTheme="minorHAnsi" w:hAnsiTheme="minorHAnsi"/>
                <w:sz w:val="24"/>
                <w:szCs w:val="24"/>
                <w:lang w:val="en-US"/>
              </w:rPr>
              <w:t>01 December 2016</w:t>
            </w:r>
          </w:p>
        </w:tc>
        <w:tc>
          <w:tcPr>
            <w:tcW w:w="270" w:type="dxa"/>
          </w:tcPr>
          <w:p w:rsidR="00FB169B" w:rsidRDefault="00FB169B" w:rsidP="00D102CC">
            <w:pPr>
              <w:rPr>
                <w:rFonts w:asciiTheme="minorHAnsi" w:hAnsiTheme="minorHAnsi"/>
                <w:sz w:val="24"/>
                <w:szCs w:val="24"/>
                <w:lang w:val="en-US"/>
              </w:rPr>
            </w:pPr>
          </w:p>
        </w:tc>
        <w:tc>
          <w:tcPr>
            <w:tcW w:w="270" w:type="dxa"/>
          </w:tcPr>
          <w:p w:rsidR="00FB169B" w:rsidRDefault="00FB169B"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761725" w:rsidP="00E76169">
      <w:pPr>
        <w:rPr>
          <w:rFonts w:asciiTheme="minorHAnsi" w:hAnsiTheme="minorHAnsi"/>
          <w:sz w:val="24"/>
          <w:szCs w:val="24"/>
        </w:rPr>
      </w:pPr>
      <w:r w:rsidRPr="00761725">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1969FF" w:rsidRDefault="00761725"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10.4pt;width:11.05pt;height:16.85pt;z-index:251667456" strokecolor="#548dd4"/>
        </w:pict>
      </w:r>
      <w:r w:rsidR="00C97D66" w:rsidRPr="00E94F5F">
        <w:rPr>
          <w:rFonts w:asciiTheme="minorHAnsi" w:hAnsiTheme="minorHAnsi"/>
          <w:noProof/>
          <w:sz w:val="24"/>
          <w:szCs w:val="24"/>
          <w:lang w:val="en-US"/>
        </w:rPr>
        <w:t xml:space="preserve">TO REGISTER, </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sidR="001969FF">
        <w:rPr>
          <w:rFonts w:asciiTheme="minorHAnsi" w:hAnsiTheme="minorHAnsi"/>
          <w:noProof/>
          <w:sz w:val="24"/>
          <w:szCs w:val="24"/>
          <w:lang w:val="en-US"/>
        </w:rPr>
        <w:t xml:space="preserve"> 03-7958 8001 / 03-7958 8002 OR</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1969FF">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 xml:space="preserve">E-MAIL TO: </w:t>
      </w:r>
      <w:r w:rsidR="00C242B0">
        <w:rPr>
          <w:rFonts w:asciiTheme="minorHAnsi" w:hAnsiTheme="minorHAnsi"/>
          <w:noProof/>
          <w:sz w:val="24"/>
          <w:szCs w:val="24"/>
          <w:lang w:val="en-US"/>
        </w:rPr>
        <w:t>sophiah</w:t>
      </w:r>
      <w:r w:rsidRPr="00E94F5F">
        <w:rPr>
          <w:rFonts w:asciiTheme="minorHAnsi" w:hAnsiTheme="minorHAnsi"/>
          <w:noProof/>
          <w:sz w:val="24"/>
          <w:szCs w:val="24"/>
          <w:lang w:val="en-US"/>
        </w:rPr>
        <w:t>@bursatra.com.my</w:t>
      </w:r>
    </w:p>
    <w:p w:rsidR="00E76169" w:rsidRDefault="00761725" w:rsidP="00E76169">
      <w:pPr>
        <w:jc w:val="center"/>
        <w:rPr>
          <w:rFonts w:asciiTheme="minorHAnsi" w:hAnsiTheme="minorHAnsi"/>
          <w:sz w:val="24"/>
          <w:szCs w:val="24"/>
        </w:rPr>
      </w:pPr>
      <w:r>
        <w:rPr>
          <w:rFonts w:asciiTheme="minorHAnsi" w:hAnsiTheme="minorHAnsi"/>
          <w:noProof/>
          <w:sz w:val="24"/>
          <w:szCs w:val="24"/>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31" type="#_x0000_t185" style="position:absolute;left:0;text-align:left;margin-left:-9.3pt;margin-top:12.35pt;width:483.3pt;height:54.1pt;z-index:-251574272" filled="t" fillcolor="#ffb9b9">
            <v:fill opacity="29491f"/>
            <v:textbox>
              <w:txbxContent>
                <w:p w:rsidR="00852B64" w:rsidRPr="00BC0460" w:rsidRDefault="00852B64" w:rsidP="00C242B0">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txbxContent>
            </v:textbox>
          </v:shape>
        </w:pict>
      </w:r>
    </w:p>
    <w:p w:rsidR="00D23F0F" w:rsidRDefault="00D23F0F" w:rsidP="00E76169">
      <w:pPr>
        <w:jc w:val="center"/>
        <w:rPr>
          <w:rFonts w:asciiTheme="minorHAnsi" w:hAnsiTheme="minorHAnsi"/>
          <w:sz w:val="24"/>
          <w:szCs w:val="24"/>
        </w:rPr>
      </w:pPr>
    </w:p>
    <w:p w:rsidR="00095BF6" w:rsidRDefault="00C242B0" w:rsidP="00C242B0">
      <w:pPr>
        <w:tabs>
          <w:tab w:val="left" w:pos="620"/>
        </w:tabs>
        <w:rPr>
          <w:rFonts w:asciiTheme="minorHAnsi" w:hAnsiTheme="minorHAnsi"/>
          <w:sz w:val="24"/>
          <w:szCs w:val="24"/>
        </w:rPr>
      </w:pPr>
      <w:r>
        <w:rPr>
          <w:rFonts w:asciiTheme="minorHAnsi" w:hAnsiTheme="minorHAnsi"/>
          <w:sz w:val="24"/>
          <w:szCs w:val="24"/>
        </w:rPr>
        <w:tab/>
      </w:r>
    </w:p>
    <w:p w:rsidR="00C242B0" w:rsidRDefault="00C242B0" w:rsidP="00E76169">
      <w:pPr>
        <w:jc w:val="center"/>
        <w:rPr>
          <w:rFonts w:asciiTheme="minorHAnsi" w:hAnsiTheme="minorHAnsi"/>
          <w:sz w:val="24"/>
          <w:szCs w:val="24"/>
        </w:rPr>
      </w:pPr>
    </w:p>
    <w:p w:rsidR="00C242B0" w:rsidRDefault="00C242B0" w:rsidP="00E76169">
      <w:pPr>
        <w:jc w:val="center"/>
        <w:rPr>
          <w:rFonts w:asciiTheme="minorHAnsi" w:hAnsiTheme="minorHAnsi"/>
          <w:sz w:val="24"/>
          <w:szCs w:val="24"/>
        </w:rPr>
      </w:pPr>
    </w:p>
    <w:p w:rsidR="00C242B0" w:rsidRDefault="00C242B0" w:rsidP="00E76169">
      <w:pPr>
        <w:jc w:val="center"/>
        <w:rPr>
          <w:rFonts w:asciiTheme="minorHAnsi" w:hAnsiTheme="minorHAnsi"/>
          <w:sz w:val="24"/>
          <w:szCs w:val="24"/>
        </w:rPr>
      </w:pPr>
    </w:p>
    <w:p w:rsidR="00C242B0" w:rsidRPr="00E76169" w:rsidRDefault="00C242B0" w:rsidP="00E76169">
      <w:pPr>
        <w:jc w:val="center"/>
        <w:rPr>
          <w:rFonts w:asciiTheme="minorHAnsi" w:hAnsiTheme="minorHAnsi"/>
          <w:sz w:val="24"/>
          <w:szCs w:val="24"/>
        </w:rPr>
      </w:pPr>
      <w:r w:rsidRPr="00C242B0">
        <w:rPr>
          <w:rFonts w:asciiTheme="minorHAnsi" w:hAnsiTheme="minorHAnsi"/>
          <w:sz w:val="24"/>
          <w:szCs w:val="24"/>
        </w:rPr>
        <w:t>Bursatra Sdn Bhd is a registered training provider with PSMB (Reg. No: 520353-U)</w:t>
      </w:r>
    </w:p>
    <w:sectPr w:rsidR="00C242B0" w:rsidRPr="00E76169" w:rsidSect="00800675">
      <w:type w:val="continuous"/>
      <w:pgSz w:w="11906" w:h="16838" w:code="9"/>
      <w:pgMar w:top="1440" w:right="1440" w:bottom="1440"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587" w:rsidRDefault="00AF6587">
      <w:r>
        <w:separator/>
      </w:r>
    </w:p>
  </w:endnote>
  <w:endnote w:type="continuationSeparator" w:id="1">
    <w:p w:rsidR="00AF6587" w:rsidRDefault="00AF65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587" w:rsidRDefault="00AF6587">
      <w:r>
        <w:separator/>
      </w:r>
    </w:p>
  </w:footnote>
  <w:footnote w:type="continuationSeparator" w:id="1">
    <w:p w:rsidR="00AF6587" w:rsidRDefault="00AF65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7617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761725" w:rsidP="00C24690">
    <w:pPr>
      <w:pStyle w:val="Heading5"/>
      <w:ind w:left="-810" w:hanging="90"/>
      <w:rPr>
        <w:rFonts w:ascii="Century Gothic" w:hAnsi="Century Gothic"/>
        <w:i w:val="0"/>
        <w:iCs/>
        <w:sz w:val="24"/>
        <w:szCs w:val="24"/>
      </w:rPr>
    </w:pPr>
    <w:r w:rsidRPr="0076172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7617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EB3"/>
    <w:multiLevelType w:val="hybridMultilevel"/>
    <w:tmpl w:val="09B8364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F0A84"/>
    <w:multiLevelType w:val="hybridMultilevel"/>
    <w:tmpl w:val="4ED0FB14"/>
    <w:lvl w:ilvl="0" w:tplc="C8F4E6AC">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75582"/>
    <w:multiLevelType w:val="hybridMultilevel"/>
    <w:tmpl w:val="3FFC0E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4B4C76"/>
    <w:multiLevelType w:val="hybridMultilevel"/>
    <w:tmpl w:val="0092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5965F7"/>
    <w:multiLevelType w:val="hybridMultilevel"/>
    <w:tmpl w:val="DEA8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C46E0C"/>
    <w:multiLevelType w:val="hybridMultilevel"/>
    <w:tmpl w:val="02B41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7"/>
  </w:num>
  <w:num w:numId="3">
    <w:abstractNumId w:val="14"/>
  </w:num>
  <w:num w:numId="4">
    <w:abstractNumId w:val="10"/>
  </w:num>
  <w:num w:numId="5">
    <w:abstractNumId w:val="2"/>
  </w:num>
  <w:num w:numId="6">
    <w:abstractNumId w:val="13"/>
  </w:num>
  <w:num w:numId="7">
    <w:abstractNumId w:val="8"/>
  </w:num>
  <w:num w:numId="8">
    <w:abstractNumId w:val="6"/>
  </w:num>
  <w:num w:numId="9">
    <w:abstractNumId w:val="4"/>
  </w:num>
  <w:num w:numId="10">
    <w:abstractNumId w:val="1"/>
  </w:num>
  <w:num w:numId="11">
    <w:abstractNumId w:val="11"/>
  </w:num>
  <w:num w:numId="12">
    <w:abstractNumId w:val="0"/>
  </w:num>
  <w:num w:numId="13">
    <w:abstractNumId w:val="3"/>
  </w:num>
  <w:num w:numId="14">
    <w:abstractNumId w:val="5"/>
  </w:num>
  <w:num w:numId="15">
    <w:abstractNumId w:val="12"/>
  </w:num>
  <w:num w:numId="16">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27650">
      <o:colormru v:ext="edit" colors="#eaeaea,aqua,#ffb9b9"/>
      <o:colormenu v:ext="edit" fillcolor="#ffb9b9" strokecolor="none"/>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95BF6"/>
    <w:rsid w:val="000B2E9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11448"/>
    <w:rsid w:val="00116013"/>
    <w:rsid w:val="00120F5D"/>
    <w:rsid w:val="001215E3"/>
    <w:rsid w:val="001235DF"/>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4105E"/>
    <w:rsid w:val="00246303"/>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B2C67"/>
    <w:rsid w:val="002C286F"/>
    <w:rsid w:val="002C28AF"/>
    <w:rsid w:val="002D152D"/>
    <w:rsid w:val="002D40CE"/>
    <w:rsid w:val="002D76A9"/>
    <w:rsid w:val="002E6DF0"/>
    <w:rsid w:val="002E6DF1"/>
    <w:rsid w:val="002F32AA"/>
    <w:rsid w:val="002F629E"/>
    <w:rsid w:val="002F679A"/>
    <w:rsid w:val="003215CC"/>
    <w:rsid w:val="00323457"/>
    <w:rsid w:val="003300F6"/>
    <w:rsid w:val="003324DF"/>
    <w:rsid w:val="00336392"/>
    <w:rsid w:val="0034120C"/>
    <w:rsid w:val="00350723"/>
    <w:rsid w:val="0035263B"/>
    <w:rsid w:val="00365E83"/>
    <w:rsid w:val="003670C1"/>
    <w:rsid w:val="003673E3"/>
    <w:rsid w:val="003712FB"/>
    <w:rsid w:val="003739F2"/>
    <w:rsid w:val="00383D4B"/>
    <w:rsid w:val="00387325"/>
    <w:rsid w:val="00387974"/>
    <w:rsid w:val="00387DD8"/>
    <w:rsid w:val="003930BC"/>
    <w:rsid w:val="00394B45"/>
    <w:rsid w:val="003954D3"/>
    <w:rsid w:val="00396CCE"/>
    <w:rsid w:val="003A2DB5"/>
    <w:rsid w:val="003A7382"/>
    <w:rsid w:val="003B0F4B"/>
    <w:rsid w:val="003B3940"/>
    <w:rsid w:val="003B49DF"/>
    <w:rsid w:val="003C4202"/>
    <w:rsid w:val="003D4F0B"/>
    <w:rsid w:val="003E086B"/>
    <w:rsid w:val="003E2AB7"/>
    <w:rsid w:val="003F3712"/>
    <w:rsid w:val="003F41F3"/>
    <w:rsid w:val="003F681A"/>
    <w:rsid w:val="003F6F40"/>
    <w:rsid w:val="003F7192"/>
    <w:rsid w:val="004032DA"/>
    <w:rsid w:val="0040695E"/>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D135F"/>
    <w:rsid w:val="004D1E6C"/>
    <w:rsid w:val="004D5038"/>
    <w:rsid w:val="004E0773"/>
    <w:rsid w:val="004E6547"/>
    <w:rsid w:val="004E68AD"/>
    <w:rsid w:val="004E71E2"/>
    <w:rsid w:val="004F0317"/>
    <w:rsid w:val="004F74FF"/>
    <w:rsid w:val="00502E5F"/>
    <w:rsid w:val="0051007A"/>
    <w:rsid w:val="00517605"/>
    <w:rsid w:val="005234A8"/>
    <w:rsid w:val="005335E3"/>
    <w:rsid w:val="0053521C"/>
    <w:rsid w:val="005404B1"/>
    <w:rsid w:val="00541103"/>
    <w:rsid w:val="005451F7"/>
    <w:rsid w:val="00545568"/>
    <w:rsid w:val="005632EC"/>
    <w:rsid w:val="00567340"/>
    <w:rsid w:val="00571075"/>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58A"/>
    <w:rsid w:val="00693D58"/>
    <w:rsid w:val="00696AB3"/>
    <w:rsid w:val="006A1CE8"/>
    <w:rsid w:val="006A299A"/>
    <w:rsid w:val="006B11CB"/>
    <w:rsid w:val="006C21AD"/>
    <w:rsid w:val="006C3FD2"/>
    <w:rsid w:val="006C5CB2"/>
    <w:rsid w:val="006D77A2"/>
    <w:rsid w:val="006E2F0B"/>
    <w:rsid w:val="006F5FAE"/>
    <w:rsid w:val="0070458F"/>
    <w:rsid w:val="007063EE"/>
    <w:rsid w:val="00706FF6"/>
    <w:rsid w:val="007137FB"/>
    <w:rsid w:val="007158D1"/>
    <w:rsid w:val="00722C3F"/>
    <w:rsid w:val="00726DBB"/>
    <w:rsid w:val="0074177E"/>
    <w:rsid w:val="00742723"/>
    <w:rsid w:val="007466BC"/>
    <w:rsid w:val="00761725"/>
    <w:rsid w:val="00764168"/>
    <w:rsid w:val="00782EDD"/>
    <w:rsid w:val="00784BD4"/>
    <w:rsid w:val="0079258D"/>
    <w:rsid w:val="00794E40"/>
    <w:rsid w:val="007A38E3"/>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2B64"/>
    <w:rsid w:val="00857F0B"/>
    <w:rsid w:val="008625D4"/>
    <w:rsid w:val="0087164E"/>
    <w:rsid w:val="00873998"/>
    <w:rsid w:val="00880F11"/>
    <w:rsid w:val="00882E02"/>
    <w:rsid w:val="00885384"/>
    <w:rsid w:val="00886436"/>
    <w:rsid w:val="00893FF6"/>
    <w:rsid w:val="008A36B4"/>
    <w:rsid w:val="008A7D0C"/>
    <w:rsid w:val="008B290B"/>
    <w:rsid w:val="008B4D1B"/>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11B27"/>
    <w:rsid w:val="00916BC4"/>
    <w:rsid w:val="00920EFB"/>
    <w:rsid w:val="0092566D"/>
    <w:rsid w:val="0093318C"/>
    <w:rsid w:val="00941FC5"/>
    <w:rsid w:val="00942851"/>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919"/>
    <w:rsid w:val="009D03F3"/>
    <w:rsid w:val="009D510E"/>
    <w:rsid w:val="009D5C3B"/>
    <w:rsid w:val="009E77BF"/>
    <w:rsid w:val="00A00F25"/>
    <w:rsid w:val="00A01F70"/>
    <w:rsid w:val="00A06B10"/>
    <w:rsid w:val="00A13919"/>
    <w:rsid w:val="00A2356C"/>
    <w:rsid w:val="00A26477"/>
    <w:rsid w:val="00A5263F"/>
    <w:rsid w:val="00A612A4"/>
    <w:rsid w:val="00A63428"/>
    <w:rsid w:val="00A63981"/>
    <w:rsid w:val="00A72244"/>
    <w:rsid w:val="00A72AB9"/>
    <w:rsid w:val="00A80B58"/>
    <w:rsid w:val="00A875B6"/>
    <w:rsid w:val="00A900AF"/>
    <w:rsid w:val="00A91344"/>
    <w:rsid w:val="00A96EDC"/>
    <w:rsid w:val="00AB2E66"/>
    <w:rsid w:val="00AC523C"/>
    <w:rsid w:val="00AD7636"/>
    <w:rsid w:val="00AE0757"/>
    <w:rsid w:val="00AE16FE"/>
    <w:rsid w:val="00AE3449"/>
    <w:rsid w:val="00AE744D"/>
    <w:rsid w:val="00AF24EB"/>
    <w:rsid w:val="00AF519B"/>
    <w:rsid w:val="00AF6587"/>
    <w:rsid w:val="00B0380D"/>
    <w:rsid w:val="00B04AC7"/>
    <w:rsid w:val="00B10286"/>
    <w:rsid w:val="00B1346F"/>
    <w:rsid w:val="00B1435F"/>
    <w:rsid w:val="00B14653"/>
    <w:rsid w:val="00B16A82"/>
    <w:rsid w:val="00B21F7E"/>
    <w:rsid w:val="00B2339C"/>
    <w:rsid w:val="00B266B7"/>
    <w:rsid w:val="00B26841"/>
    <w:rsid w:val="00B318E2"/>
    <w:rsid w:val="00B3486C"/>
    <w:rsid w:val="00B374FE"/>
    <w:rsid w:val="00B43804"/>
    <w:rsid w:val="00B4435B"/>
    <w:rsid w:val="00B45D60"/>
    <w:rsid w:val="00B53DAF"/>
    <w:rsid w:val="00B62990"/>
    <w:rsid w:val="00B66D36"/>
    <w:rsid w:val="00B82548"/>
    <w:rsid w:val="00B923DB"/>
    <w:rsid w:val="00B93281"/>
    <w:rsid w:val="00B954D2"/>
    <w:rsid w:val="00BA45A9"/>
    <w:rsid w:val="00BB12F9"/>
    <w:rsid w:val="00BB4BE2"/>
    <w:rsid w:val="00BB7731"/>
    <w:rsid w:val="00BC0460"/>
    <w:rsid w:val="00BC0823"/>
    <w:rsid w:val="00BC2DCA"/>
    <w:rsid w:val="00BD365B"/>
    <w:rsid w:val="00BD4DFF"/>
    <w:rsid w:val="00BD6B2C"/>
    <w:rsid w:val="00BF185D"/>
    <w:rsid w:val="00C01409"/>
    <w:rsid w:val="00C10685"/>
    <w:rsid w:val="00C11F7E"/>
    <w:rsid w:val="00C17A24"/>
    <w:rsid w:val="00C20F39"/>
    <w:rsid w:val="00C21784"/>
    <w:rsid w:val="00C242B0"/>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3F0F"/>
    <w:rsid w:val="00D2799C"/>
    <w:rsid w:val="00D34E2C"/>
    <w:rsid w:val="00D35263"/>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79D8"/>
    <w:rsid w:val="00E27AF7"/>
    <w:rsid w:val="00E3088A"/>
    <w:rsid w:val="00E30D2E"/>
    <w:rsid w:val="00E32516"/>
    <w:rsid w:val="00E33343"/>
    <w:rsid w:val="00E34822"/>
    <w:rsid w:val="00E42427"/>
    <w:rsid w:val="00E45A1B"/>
    <w:rsid w:val="00E47137"/>
    <w:rsid w:val="00E50753"/>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B130F"/>
    <w:rsid w:val="00FB169B"/>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colormru v:ext="edit" colors="#eaeaea,aqua,#ffb9b9"/>
      <o:colormenu v:ext="edit" fillcolor="#ffb9b9" stroke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1C4D0-1DB6-4F95-BCF9-A50321B9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Inside Story Of The Annual Report: What Directors Must Know</vt:lpstr>
    </vt:vector>
  </TitlesOfParts>
  <Company>Bursatra</Company>
  <LinksUpToDate>false</LinksUpToDate>
  <CharactersWithSpaces>4881</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Inside Story Of The Annual Report: What Directors Must Know</dc:title>
  <dc:subject>26th August 2015</dc:subject>
  <dc:creator>Azlan</dc:creator>
  <cp:keywords/>
  <cp:lastModifiedBy>hp</cp:lastModifiedBy>
  <cp:revision>8</cp:revision>
  <cp:lastPrinted>2015-07-06T11:13:00Z</cp:lastPrinted>
  <dcterms:created xsi:type="dcterms:W3CDTF">2015-10-21T16:04:00Z</dcterms:created>
  <dcterms:modified xsi:type="dcterms:W3CDTF">2016-06-10T01:30:00Z</dcterms:modified>
  <cp:category>CGBP</cp:category>
</cp:coreProperties>
</file>